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3D61" w14:textId="50117E68" w:rsidR="00F13A3E" w:rsidRPr="003E45BE" w:rsidRDefault="00AD357E" w:rsidP="00766211">
      <w:pPr>
        <w:pStyle w:val="Heading1"/>
        <w:rPr>
          <w:szCs w:val="56"/>
        </w:rPr>
      </w:pPr>
      <w:r w:rsidRPr="003E45BE">
        <w:rPr>
          <w:caps w:val="0"/>
          <w:szCs w:val="56"/>
        </w:rPr>
        <w:t>National Sports Tribunal Dispute Resolution Policies</w:t>
      </w:r>
    </w:p>
    <w:p w14:paraId="3F4BCA0A" w14:textId="77777777" w:rsidR="00F13A3E" w:rsidRPr="00766211" w:rsidRDefault="00F13A3E" w:rsidP="00766211">
      <w:pPr>
        <w:pStyle w:val="Introduction"/>
        <w:rPr>
          <w:rStyle w:val="Strong"/>
        </w:rPr>
      </w:pPr>
      <w:r w:rsidRPr="00766211">
        <w:rPr>
          <w:rStyle w:val="Strong"/>
        </w:rPr>
        <w:t>Introduction</w:t>
      </w:r>
    </w:p>
    <w:p w14:paraId="13FAA4E4" w14:textId="2DD1E1B5" w:rsidR="000336B7" w:rsidRPr="00F13A3E" w:rsidRDefault="00F13A3E" w:rsidP="00DC2663">
      <w:pPr>
        <w:pStyle w:val="Introduction"/>
      </w:pPr>
      <w:r w:rsidRPr="00F13A3E">
        <w:t>As part of an overall reform of Australia’s sport integrity and governance arrangements, the sport sector and the Australian Government are working together to ensure Australian sport is clean, fair, safe, and inclusive. Key to achieving this is to ensure that National Sporting Organisations (NSOs) and their member and affiliate organisations are governed by rules, by-laws and policies that are relevant, clear, consistent, robust, fair and streamlined.</w:t>
      </w:r>
    </w:p>
    <w:p w14:paraId="05CAE07E" w14:textId="77777777" w:rsidR="00F13A3E" w:rsidRDefault="00F13A3E" w:rsidP="00BB5107">
      <w:r>
        <w:t>Significant progress has been made since the Wood Review, including the establishment of the National Sports Tribunal (NST) and Sport Integrity Australia (SIA), and the publication by SIA of the National Integrity Framework (NIF) for adoption by NSOs.</w:t>
      </w:r>
    </w:p>
    <w:p w14:paraId="53130043" w14:textId="77777777" w:rsidR="00F13A3E" w:rsidRDefault="00F13A3E" w:rsidP="00F13A3E">
      <w:r>
        <w:t xml:space="preserve">To ensure the benefit of these reforms are fully realised, however, there remained a need to develop a suite of policies for sport that support the whole sector, including by ensuring that there is a process whereby all complaints and disputes are effectively managed. </w:t>
      </w:r>
    </w:p>
    <w:p w14:paraId="1AFDF6EA" w14:textId="77777777" w:rsidR="00F13A3E" w:rsidRDefault="00F13A3E" w:rsidP="00F13A3E">
      <w:r>
        <w:t>To this end, the NST has developed a suite of template policies that provide for appropriate resolution of complaints and other disputes that fall outside of the NIF, while also aligning with the concepts and language contained within the NIF.</w:t>
      </w:r>
    </w:p>
    <w:p w14:paraId="1BF62A0E" w14:textId="5EC2A5B0" w:rsidR="00F13A3E" w:rsidRDefault="00F13A3E" w:rsidP="00F13A3E">
      <w:r>
        <w:t>This suite of ‘best practice’ template policies was developed by the NST through a consultative project working group made up of experts in the sector representing NSOs, SIA and the Australian Sports Commission.</w:t>
      </w:r>
    </w:p>
    <w:p w14:paraId="4DB813A8" w14:textId="77777777" w:rsidR="00F13A3E" w:rsidRDefault="00F13A3E" w:rsidP="00F13A3E">
      <w:r>
        <w:t>Through the input of the working group members, key policy outputs were identified and template policies developed to meet those baseline critical requirements, with sporting organisations then able to tailor to the specific needs of their sport.</w:t>
      </w:r>
    </w:p>
    <w:p w14:paraId="29D6F331" w14:textId="0DFA770B" w:rsidR="00F13A3E" w:rsidRDefault="00F13A3E" w:rsidP="00F13A3E">
      <w:r w:rsidRPr="00F67CF0">
        <w:rPr>
          <w:rStyle w:val="Strong"/>
        </w:rPr>
        <w:t xml:space="preserve">NOTE: </w:t>
      </w:r>
      <w:r>
        <w:t xml:space="preserve">Please cross-check this </w:t>
      </w:r>
      <w:r w:rsidR="00F67CF0">
        <w:t>f</w:t>
      </w:r>
      <w:r>
        <w:t>act</w:t>
      </w:r>
      <w:r w:rsidR="00F67CF0">
        <w:t xml:space="preserve"> </w:t>
      </w:r>
      <w:r>
        <w:t>sheet against the policies of your own sport as your sport may have amended aspects of the policies.</w:t>
      </w:r>
    </w:p>
    <w:p w14:paraId="67CCB504" w14:textId="330B17FD" w:rsidR="00F13A3E" w:rsidRDefault="00F13A3E" w:rsidP="00F13A3E">
      <w:pPr>
        <w:spacing w:before="0" w:after="0" w:line="240" w:lineRule="auto"/>
      </w:pPr>
      <w:r>
        <w:br w:type="page"/>
      </w:r>
    </w:p>
    <w:p w14:paraId="163C57E6" w14:textId="4B512D3F" w:rsidR="00F13A3E" w:rsidRDefault="00F13A3E" w:rsidP="00F13A3E">
      <w:pPr>
        <w:pStyle w:val="Heading2"/>
      </w:pPr>
      <w:r>
        <w:lastRenderedPageBreak/>
        <w:t xml:space="preserve">The </w:t>
      </w:r>
      <w:r w:rsidR="00F67CF0">
        <w:t>i</w:t>
      </w:r>
      <w:r>
        <w:t xml:space="preserve">ntent of the </w:t>
      </w:r>
      <w:r w:rsidR="00F67CF0">
        <w:t>p</w:t>
      </w:r>
      <w:r>
        <w:t>olicies</w:t>
      </w:r>
    </w:p>
    <w:tbl>
      <w:tblPr>
        <w:tblStyle w:val="GridTable1Light-Accent3"/>
        <w:tblW w:w="0" w:type="auto"/>
        <w:tblLook w:val="04A0" w:firstRow="1" w:lastRow="0" w:firstColumn="1" w:lastColumn="0" w:noHBand="0" w:noVBand="1"/>
      </w:tblPr>
      <w:tblGrid>
        <w:gridCol w:w="1879"/>
        <w:gridCol w:w="7137"/>
      </w:tblGrid>
      <w:tr w:rsidR="00766211" w14:paraId="734BE337" w14:textId="77777777" w:rsidTr="00BB51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2544650" w14:textId="72D68F16" w:rsidR="00766211" w:rsidRDefault="00766211" w:rsidP="00766211">
            <w:pPr>
              <w:rPr>
                <w:lang w:val="en-US"/>
              </w:rPr>
            </w:pPr>
            <w:r>
              <w:rPr>
                <w:lang w:val="en-US"/>
              </w:rPr>
              <w:t>Policy title</w:t>
            </w:r>
          </w:p>
        </w:tc>
        <w:tc>
          <w:tcPr>
            <w:tcW w:w="0" w:type="auto"/>
          </w:tcPr>
          <w:p w14:paraId="461A2009" w14:textId="54E7337A" w:rsidR="00766211" w:rsidRDefault="00766211" w:rsidP="00766211">
            <w:pPr>
              <w:cnfStyle w:val="100000000000" w:firstRow="1" w:lastRow="0" w:firstColumn="0" w:lastColumn="0" w:oddVBand="0" w:evenVBand="0" w:oddHBand="0" w:evenHBand="0" w:firstRowFirstColumn="0" w:firstRowLastColumn="0" w:lastRowFirstColumn="0" w:lastRowLastColumn="0"/>
              <w:rPr>
                <w:lang w:val="en-US"/>
              </w:rPr>
            </w:pPr>
            <w:r>
              <w:rPr>
                <w:lang w:val="en-US"/>
              </w:rPr>
              <w:t>Coverage</w:t>
            </w:r>
          </w:p>
        </w:tc>
      </w:tr>
      <w:tr w:rsidR="00766211" w14:paraId="68C4769C" w14:textId="77777777" w:rsidTr="00BB5107">
        <w:tc>
          <w:tcPr>
            <w:cnfStyle w:val="001000000000" w:firstRow="0" w:lastRow="0" w:firstColumn="1" w:lastColumn="0" w:oddVBand="0" w:evenVBand="0" w:oddHBand="0" w:evenHBand="0" w:firstRowFirstColumn="0" w:firstRowLastColumn="0" w:lastRowFirstColumn="0" w:lastRowLastColumn="0"/>
            <w:tcW w:w="0" w:type="auto"/>
          </w:tcPr>
          <w:p w14:paraId="4158AF0A" w14:textId="2C728608" w:rsidR="00766211" w:rsidRDefault="00766211" w:rsidP="00766211">
            <w:pPr>
              <w:rPr>
                <w:lang w:val="en-US"/>
              </w:rPr>
            </w:pPr>
            <w:r w:rsidRPr="0070355E">
              <w:t>Code of Conduct</w:t>
            </w:r>
          </w:p>
        </w:tc>
        <w:tc>
          <w:tcPr>
            <w:tcW w:w="0" w:type="auto"/>
          </w:tcPr>
          <w:p w14:paraId="4B1E1577" w14:textId="77777777" w:rsidR="00766211" w:rsidRPr="00766211" w:rsidRDefault="00766211" w:rsidP="00766211">
            <w:pPr>
              <w:cnfStyle w:val="000000000000" w:firstRow="0" w:lastRow="0" w:firstColumn="0" w:lastColumn="0" w:oddVBand="0" w:evenVBand="0" w:oddHBand="0" w:evenHBand="0" w:firstRowFirstColumn="0" w:firstRowLastColumn="0" w:lastRowFirstColumn="0" w:lastRowLastColumn="0"/>
              <w:rPr>
                <w:lang w:val="en-US"/>
              </w:rPr>
            </w:pPr>
            <w:r w:rsidRPr="00766211">
              <w:rPr>
                <w:lang w:val="en-US"/>
              </w:rPr>
              <w:t xml:space="preserve">Seeks to ensure that everyone engaged in the sport is aware of the standards of behaviour expected of them and the basis for dealing with any conduct that is alleged to fall short of conduct expectations and is a breach of the Code of Conduct. </w:t>
            </w:r>
          </w:p>
          <w:p w14:paraId="5C2A5E01" w14:textId="77777777" w:rsidR="00766211" w:rsidRPr="00766211" w:rsidRDefault="00766211" w:rsidP="00766211">
            <w:pPr>
              <w:cnfStyle w:val="000000000000" w:firstRow="0" w:lastRow="0" w:firstColumn="0" w:lastColumn="0" w:oddVBand="0" w:evenVBand="0" w:oddHBand="0" w:evenHBand="0" w:firstRowFirstColumn="0" w:firstRowLastColumn="0" w:lastRowFirstColumn="0" w:lastRowLastColumn="0"/>
              <w:rPr>
                <w:lang w:val="en-US"/>
              </w:rPr>
            </w:pPr>
            <w:r w:rsidRPr="00766211">
              <w:rPr>
                <w:lang w:val="en-US"/>
              </w:rPr>
              <w:t>The Conduct and Disciplinary Policy applies to any alleged Prohibited Conduct as defined under the Code of Conduct*. Prohibited Conduct under the NIF will be dealt with in accordance with the NIF.</w:t>
            </w:r>
          </w:p>
          <w:p w14:paraId="023FE86E" w14:textId="60653C28" w:rsidR="00766211" w:rsidRDefault="00766211" w:rsidP="00766211">
            <w:pPr>
              <w:cnfStyle w:val="000000000000" w:firstRow="0" w:lastRow="0" w:firstColumn="0" w:lastColumn="0" w:oddVBand="0" w:evenVBand="0" w:oddHBand="0" w:evenHBand="0" w:firstRowFirstColumn="0" w:firstRowLastColumn="0" w:lastRowFirstColumn="0" w:lastRowLastColumn="0"/>
              <w:rPr>
                <w:lang w:val="en-US"/>
              </w:rPr>
            </w:pPr>
            <w:r w:rsidRPr="00766211">
              <w:rPr>
                <w:lang w:val="en-US"/>
              </w:rPr>
              <w:t>* Breaches of the Code are breaches of the prohibited conduct provisions and not the behaviour provisions.</w:t>
            </w:r>
          </w:p>
        </w:tc>
      </w:tr>
      <w:tr w:rsidR="00766211" w14:paraId="6FCE16DA" w14:textId="77777777" w:rsidTr="00BB5107">
        <w:tc>
          <w:tcPr>
            <w:cnfStyle w:val="001000000000" w:firstRow="0" w:lastRow="0" w:firstColumn="1" w:lastColumn="0" w:oddVBand="0" w:evenVBand="0" w:oddHBand="0" w:evenHBand="0" w:firstRowFirstColumn="0" w:firstRowLastColumn="0" w:lastRowFirstColumn="0" w:lastRowLastColumn="0"/>
            <w:tcW w:w="0" w:type="auto"/>
          </w:tcPr>
          <w:p w14:paraId="540736C9" w14:textId="408C9E1F" w:rsidR="00766211" w:rsidRDefault="00766211" w:rsidP="00766211">
            <w:pPr>
              <w:rPr>
                <w:lang w:val="en-US"/>
              </w:rPr>
            </w:pPr>
            <w:r w:rsidRPr="0070355E">
              <w:t>Conduct and Disciplinary Policy</w:t>
            </w:r>
          </w:p>
        </w:tc>
        <w:tc>
          <w:tcPr>
            <w:tcW w:w="0" w:type="auto"/>
          </w:tcPr>
          <w:p w14:paraId="33CD8E05" w14:textId="756FB3E7" w:rsidR="00766211" w:rsidRDefault="00766211" w:rsidP="00766211">
            <w:pPr>
              <w:cnfStyle w:val="000000000000" w:firstRow="0" w:lastRow="0" w:firstColumn="0" w:lastColumn="0" w:oddVBand="0" w:evenVBand="0" w:oddHBand="0" w:evenHBand="0" w:firstRowFirstColumn="0" w:firstRowLastColumn="0" w:lastRowFirstColumn="0" w:lastRowLastColumn="0"/>
              <w:rPr>
                <w:lang w:val="en-US"/>
              </w:rPr>
            </w:pPr>
            <w:r w:rsidRPr="00766211">
              <w:rPr>
                <w:lang w:val="en-US"/>
              </w:rPr>
              <w:t>A dispute resolution policy to cater for disciplinary disputes arising from Code of Conduct (above), other sport specific policies, and other non-NIF policies that a sporting organisation may have adopted, such as social media, illicit drugs, eligibility, parents and entourage, supplements, and pitch/court siding.</w:t>
            </w:r>
          </w:p>
        </w:tc>
      </w:tr>
      <w:tr w:rsidR="00766211" w14:paraId="7E3E96A2" w14:textId="77777777" w:rsidTr="00BB5107">
        <w:tc>
          <w:tcPr>
            <w:cnfStyle w:val="001000000000" w:firstRow="0" w:lastRow="0" w:firstColumn="1" w:lastColumn="0" w:oddVBand="0" w:evenVBand="0" w:oddHBand="0" w:evenHBand="0" w:firstRowFirstColumn="0" w:firstRowLastColumn="0" w:lastRowFirstColumn="0" w:lastRowLastColumn="0"/>
            <w:tcW w:w="0" w:type="auto"/>
          </w:tcPr>
          <w:p w14:paraId="504F9C82" w14:textId="6D9AF475" w:rsidR="00766211" w:rsidRDefault="00766211" w:rsidP="00766211">
            <w:pPr>
              <w:rPr>
                <w:lang w:val="en-US"/>
              </w:rPr>
            </w:pPr>
            <w:r w:rsidRPr="0070355E">
              <w:t>Review and Appeals Policy</w:t>
            </w:r>
          </w:p>
        </w:tc>
        <w:tc>
          <w:tcPr>
            <w:tcW w:w="0" w:type="auto"/>
          </w:tcPr>
          <w:p w14:paraId="1934160C" w14:textId="21E257C1" w:rsidR="00766211" w:rsidRDefault="00766211" w:rsidP="00766211">
            <w:pPr>
              <w:cnfStyle w:val="000000000000" w:firstRow="0" w:lastRow="0" w:firstColumn="0" w:lastColumn="0" w:oddVBand="0" w:evenVBand="0" w:oddHBand="0" w:evenHBand="0" w:firstRowFirstColumn="0" w:firstRowLastColumn="0" w:lastRowFirstColumn="0" w:lastRowLastColumn="0"/>
              <w:rPr>
                <w:lang w:val="en-US"/>
              </w:rPr>
            </w:pPr>
            <w:r w:rsidRPr="00766211">
              <w:rPr>
                <w:lang w:val="en-US"/>
              </w:rPr>
              <w:t>Intended to be a catch-all dispute resolution mechanism for non- disciplinary disputes, arising out of sport policies which do not have a dispute resolution mechanism attached, including those arising out of former MPP policy position statements, governance disputes, and any other sport specific policies.</w:t>
            </w:r>
          </w:p>
        </w:tc>
      </w:tr>
      <w:tr w:rsidR="00766211" w14:paraId="22C573C5" w14:textId="77777777" w:rsidTr="00BB5107">
        <w:tc>
          <w:tcPr>
            <w:cnfStyle w:val="001000000000" w:firstRow="0" w:lastRow="0" w:firstColumn="1" w:lastColumn="0" w:oddVBand="0" w:evenVBand="0" w:oddHBand="0" w:evenHBand="0" w:firstRowFirstColumn="0" w:firstRowLastColumn="0" w:lastRowFirstColumn="0" w:lastRowLastColumn="0"/>
            <w:tcW w:w="0" w:type="auto"/>
          </w:tcPr>
          <w:p w14:paraId="4225C19B" w14:textId="6CA12D9A" w:rsidR="00766211" w:rsidRDefault="00766211" w:rsidP="00766211">
            <w:pPr>
              <w:rPr>
                <w:lang w:val="en-US"/>
              </w:rPr>
            </w:pPr>
            <w:r w:rsidRPr="0070355E">
              <w:t>Personal Grievance Policy</w:t>
            </w:r>
          </w:p>
        </w:tc>
        <w:tc>
          <w:tcPr>
            <w:tcW w:w="0" w:type="auto"/>
          </w:tcPr>
          <w:p w14:paraId="2D976E71" w14:textId="77777777" w:rsidR="00766211" w:rsidRPr="00766211" w:rsidRDefault="00766211" w:rsidP="00766211">
            <w:pPr>
              <w:cnfStyle w:val="000000000000" w:firstRow="0" w:lastRow="0" w:firstColumn="0" w:lastColumn="0" w:oddVBand="0" w:evenVBand="0" w:oddHBand="0" w:evenHBand="0" w:firstRowFirstColumn="0" w:firstRowLastColumn="0" w:lastRowFirstColumn="0" w:lastRowLastColumn="0"/>
              <w:rPr>
                <w:lang w:val="en-US"/>
              </w:rPr>
            </w:pPr>
            <w:r w:rsidRPr="00766211">
              <w:rPr>
                <w:lang w:val="en-US"/>
              </w:rPr>
              <w:t>Seeks to establish a process* for Persons and Organisations engaging with sport to resolve interpersonal conflicts and disputes that arise in the context of their involvement in sport, but do not involve a breach of an Integrity Policy or other NSO policy.</w:t>
            </w:r>
          </w:p>
          <w:p w14:paraId="3D8141C8" w14:textId="2574A8F0" w:rsidR="00766211" w:rsidRDefault="00766211" w:rsidP="00766211">
            <w:pPr>
              <w:cnfStyle w:val="000000000000" w:firstRow="0" w:lastRow="0" w:firstColumn="0" w:lastColumn="0" w:oddVBand="0" w:evenVBand="0" w:oddHBand="0" w:evenHBand="0" w:firstRowFirstColumn="0" w:firstRowLastColumn="0" w:lastRowFirstColumn="0" w:lastRowLastColumn="0"/>
              <w:rPr>
                <w:lang w:val="en-US"/>
              </w:rPr>
            </w:pPr>
            <w:r w:rsidRPr="00766211">
              <w:rPr>
                <w:lang w:val="en-US"/>
              </w:rPr>
              <w:t>*The intent of the policy is to introduce less formal means of resolution for such grievances.</w:t>
            </w:r>
          </w:p>
        </w:tc>
      </w:tr>
    </w:tbl>
    <w:p w14:paraId="601226A7" w14:textId="77777777" w:rsidR="00F13A3E" w:rsidRDefault="00F13A3E" w:rsidP="00F13A3E">
      <w:pPr>
        <w:pStyle w:val="Heading2"/>
      </w:pPr>
      <w:r>
        <w:t>Definitions</w:t>
      </w:r>
    </w:p>
    <w:p w14:paraId="2DC3890C" w14:textId="77777777" w:rsidR="00F13A3E" w:rsidRDefault="00F13A3E" w:rsidP="00F13A3E">
      <w:pPr>
        <w:pStyle w:val="Heading3"/>
        <w:sectPr w:rsidR="00F13A3E" w:rsidSect="00F13A3E">
          <w:headerReference w:type="even" r:id="rId8"/>
          <w:headerReference w:type="default" r:id="rId9"/>
          <w:footerReference w:type="even" r:id="rId10"/>
          <w:footerReference w:type="default" r:id="rId11"/>
          <w:headerReference w:type="first" r:id="rId12"/>
          <w:footerReference w:type="first" r:id="rId13"/>
          <w:pgSz w:w="11906" w:h="16838"/>
          <w:pgMar w:top="2266" w:right="1440" w:bottom="1440" w:left="1440" w:header="708" w:footer="708" w:gutter="0"/>
          <w:cols w:space="708"/>
          <w:titlePg/>
          <w:docGrid w:linePitch="360"/>
        </w:sectPr>
      </w:pPr>
    </w:p>
    <w:p w14:paraId="3361C762" w14:textId="1FCE3AF4" w:rsidR="00F13A3E" w:rsidRDefault="00F13A3E" w:rsidP="00F13A3E">
      <w:pPr>
        <w:pStyle w:val="Heading3"/>
      </w:pPr>
      <w:r>
        <w:t xml:space="preserve">What is a </w:t>
      </w:r>
      <w:r w:rsidR="00F67CF0">
        <w:t>c</w:t>
      </w:r>
      <w:r>
        <w:t>omplaint?</w:t>
      </w:r>
    </w:p>
    <w:p w14:paraId="492AD7F6" w14:textId="77777777" w:rsidR="00F13A3E" w:rsidRDefault="00F13A3E" w:rsidP="00F13A3E">
      <w:r>
        <w:t>A complaint is where a person believes something is unsatisfactory or unacceptable (for example: an alleged breach of policy)</w:t>
      </w:r>
    </w:p>
    <w:p w14:paraId="0BABDEA6" w14:textId="4F4D6638" w:rsidR="00F13A3E" w:rsidRDefault="00F13A3E" w:rsidP="00F13A3E">
      <w:pPr>
        <w:pStyle w:val="Heading3"/>
      </w:pPr>
      <w:r>
        <w:t xml:space="preserve">What is a </w:t>
      </w:r>
      <w:r w:rsidR="00F67CF0">
        <w:t>d</w:t>
      </w:r>
      <w:r>
        <w:t>ispute?</w:t>
      </w:r>
    </w:p>
    <w:p w14:paraId="187C7370" w14:textId="0F6FA6F7" w:rsidR="00F13A3E" w:rsidRDefault="00F13A3E" w:rsidP="00F13A3E">
      <w:r>
        <w:t>A dispute is a disagreement about something and may include the hearing of a complaint, generally between two (2) parties</w:t>
      </w:r>
    </w:p>
    <w:p w14:paraId="416D4F2D" w14:textId="77777777" w:rsidR="00F13A3E" w:rsidRDefault="00F13A3E">
      <w:pPr>
        <w:spacing w:before="0" w:after="0" w:line="240" w:lineRule="auto"/>
        <w:sectPr w:rsidR="00F13A3E" w:rsidSect="00F13A3E">
          <w:type w:val="continuous"/>
          <w:pgSz w:w="11906" w:h="16838"/>
          <w:pgMar w:top="2266" w:right="1440" w:bottom="1440" w:left="1440" w:header="708" w:footer="708" w:gutter="0"/>
          <w:cols w:num="2" w:space="708"/>
          <w:titlePg/>
          <w:docGrid w:linePitch="360"/>
        </w:sectPr>
      </w:pPr>
    </w:p>
    <w:p w14:paraId="3F245908" w14:textId="77777777" w:rsidR="00F13A3E" w:rsidRPr="00766211" w:rsidRDefault="00F13A3E" w:rsidP="00766211">
      <w:r>
        <w:br w:type="page"/>
      </w:r>
    </w:p>
    <w:p w14:paraId="5CED2162" w14:textId="796552BF" w:rsidR="00F13A3E" w:rsidRPr="00F13A3E" w:rsidRDefault="00F13A3E" w:rsidP="00F13A3E">
      <w:pPr>
        <w:pStyle w:val="Heading2"/>
      </w:pPr>
      <w:r w:rsidRPr="00F13A3E">
        <w:lastRenderedPageBreak/>
        <w:t>Steps to take</w:t>
      </w:r>
    </w:p>
    <w:p w14:paraId="10269BCC" w14:textId="49B36CB5" w:rsidR="00F13A3E" w:rsidRPr="00F13A3E" w:rsidRDefault="00F13A3E" w:rsidP="00F13A3E">
      <w:pPr>
        <w:pStyle w:val="Heading3"/>
      </w:pPr>
      <w:r w:rsidRPr="00F13A3E">
        <w:t>Code of Conduct</w:t>
      </w:r>
    </w:p>
    <w:p w14:paraId="3433A9DE" w14:textId="77777777" w:rsidR="00F13A3E" w:rsidRDefault="00F13A3E" w:rsidP="00F13A3E">
      <w:r>
        <w:t>Conduct that is alleged Prohibited Conduct under the NIF will be dealt with in the first instance by SIA in accordance with the NIF whether or not it is also prohibited under the Code of Conduct. Subject to this, the Conduct and Disciplinary Policy (see below) applies to any alleged Prohibited Conduct as defined under the Code of Conduct.</w:t>
      </w:r>
    </w:p>
    <w:p w14:paraId="3D086B70" w14:textId="713929DE" w:rsidR="00F13A3E" w:rsidRDefault="00F13A3E" w:rsidP="00F13A3E">
      <w:pPr>
        <w:pStyle w:val="Heading3"/>
      </w:pPr>
      <w:r>
        <w:t xml:space="preserve">Conduct and </w:t>
      </w:r>
      <w:r w:rsidR="00D45E85">
        <w:t>d</w:t>
      </w:r>
      <w:r>
        <w:t xml:space="preserve">isciplinary </w:t>
      </w:r>
      <w:r w:rsidR="00F67CF0">
        <w:t>p</w:t>
      </w:r>
      <w:r>
        <w:t>olicy</w:t>
      </w:r>
    </w:p>
    <w:tbl>
      <w:tblPr>
        <w:tblStyle w:val="TableGrid"/>
        <w:tblW w:w="0" w:type="auto"/>
        <w:tblLook w:val="04A0" w:firstRow="1" w:lastRow="0" w:firstColumn="1" w:lastColumn="0" w:noHBand="0" w:noVBand="1"/>
      </w:tblPr>
      <w:tblGrid>
        <w:gridCol w:w="1271"/>
        <w:gridCol w:w="7655"/>
      </w:tblGrid>
      <w:tr w:rsidR="00F13A3E" w14:paraId="27EA34F8"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5D5C2380" w14:textId="4EE5E0F8" w:rsidR="00F13A3E" w:rsidRPr="00F13A3E" w:rsidRDefault="00F13A3E" w:rsidP="00F13A3E">
            <w:r w:rsidRPr="00F13A3E">
              <w:t>Step 1</w:t>
            </w:r>
          </w:p>
        </w:tc>
        <w:tc>
          <w:tcPr>
            <w:tcW w:w="7655" w:type="dxa"/>
          </w:tcPr>
          <w:p w14:paraId="32CAC4BC" w14:textId="70A2CF69" w:rsidR="00F13A3E" w:rsidRDefault="00F13A3E" w:rsidP="00F13A3E">
            <w:pPr>
              <w:cnfStyle w:val="000000000000" w:firstRow="0" w:lastRow="0" w:firstColumn="0" w:lastColumn="0" w:oddVBand="0" w:evenVBand="0" w:oddHBand="0" w:evenHBand="0" w:firstRowFirstColumn="0" w:firstRowLastColumn="0" w:lastRowFirstColumn="0" w:lastRowLastColumn="0"/>
            </w:pPr>
            <w:r>
              <w:t>Concern/complaint (not covered by the NIF or SIA determines that the matter is best handled under non-NIF policy) submitted to sport organisation.</w:t>
            </w:r>
          </w:p>
        </w:tc>
      </w:tr>
      <w:tr w:rsidR="00F13A3E" w14:paraId="4673184B"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5EFECB4F" w14:textId="5834CE87" w:rsidR="00F13A3E" w:rsidRPr="00F13A3E" w:rsidRDefault="00F13A3E" w:rsidP="00F13A3E">
            <w:r w:rsidRPr="00F13A3E">
              <w:t>Step 2</w:t>
            </w:r>
          </w:p>
        </w:tc>
        <w:tc>
          <w:tcPr>
            <w:tcW w:w="7655" w:type="dxa"/>
          </w:tcPr>
          <w:p w14:paraId="6FCA7EE5" w14:textId="28244FDD" w:rsidR="00F13A3E" w:rsidRDefault="00F13A3E" w:rsidP="00F13A3E">
            <w:pPr>
              <w:cnfStyle w:val="000000000000" w:firstRow="0" w:lastRow="0" w:firstColumn="0" w:lastColumn="0" w:oddVBand="0" w:evenVBand="0" w:oddHBand="0" w:evenHBand="0" w:firstRowFirstColumn="0" w:firstRowLastColumn="0" w:lastRowFirstColumn="0" w:lastRowLastColumn="0"/>
            </w:pPr>
            <w:r>
              <w:t xml:space="preserve">Complaint/information assessed by sport organisation. </w:t>
            </w:r>
          </w:p>
        </w:tc>
      </w:tr>
      <w:tr w:rsidR="00F13A3E" w14:paraId="3ACCC4E6"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4877CDE3" w14:textId="090A026B" w:rsidR="00F13A3E" w:rsidRPr="00F13A3E" w:rsidRDefault="00F13A3E" w:rsidP="00F13A3E">
            <w:r w:rsidRPr="00F13A3E">
              <w:t>Step 3</w:t>
            </w:r>
          </w:p>
        </w:tc>
        <w:tc>
          <w:tcPr>
            <w:tcW w:w="7655" w:type="dxa"/>
          </w:tcPr>
          <w:p w14:paraId="372252BC" w14:textId="14189C97" w:rsidR="00F13A3E" w:rsidRDefault="00F13A3E" w:rsidP="00F13A3E">
            <w:pPr>
              <w:cnfStyle w:val="000000000000" w:firstRow="0" w:lastRow="0" w:firstColumn="0" w:lastColumn="0" w:oddVBand="0" w:evenVBand="0" w:oddHBand="0" w:evenHBand="0" w:firstRowFirstColumn="0" w:firstRowLastColumn="0" w:lastRowFirstColumn="0" w:lastRowLastColumn="0"/>
            </w:pPr>
            <w:r>
              <w:t>Investigation conducted (internal or external) by sport organisation</w:t>
            </w:r>
          </w:p>
        </w:tc>
      </w:tr>
      <w:tr w:rsidR="00F13A3E" w14:paraId="40EAA5DE"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5CAA73C9" w14:textId="0B721536" w:rsidR="00F13A3E" w:rsidRPr="00F13A3E" w:rsidRDefault="00F13A3E" w:rsidP="00F13A3E">
            <w:r w:rsidRPr="00F13A3E">
              <w:t>Step 4</w:t>
            </w:r>
          </w:p>
        </w:tc>
        <w:tc>
          <w:tcPr>
            <w:tcW w:w="7655" w:type="dxa"/>
          </w:tcPr>
          <w:p w14:paraId="1228C3C2" w14:textId="0F3C1564" w:rsidR="00F13A3E" w:rsidRDefault="00F13A3E" w:rsidP="00F13A3E">
            <w:pPr>
              <w:cnfStyle w:val="000000000000" w:firstRow="0" w:lastRow="0" w:firstColumn="0" w:lastColumn="0" w:oddVBand="0" w:evenVBand="0" w:oddHBand="0" w:evenHBand="0" w:firstRowFirstColumn="0" w:firstRowLastColumn="0" w:lastRowFirstColumn="0" w:lastRowLastColumn="0"/>
            </w:pPr>
            <w:r>
              <w:t>If complaint is unsubstantiated – No further action</w:t>
            </w:r>
          </w:p>
        </w:tc>
      </w:tr>
      <w:tr w:rsidR="00F13A3E" w14:paraId="3AF6347F"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04EA1EED" w14:textId="1479D2E2" w:rsidR="00F13A3E" w:rsidRPr="00F13A3E" w:rsidRDefault="00F13A3E" w:rsidP="00F13A3E">
            <w:r w:rsidRPr="00F13A3E">
              <w:t>Step 5</w:t>
            </w:r>
          </w:p>
        </w:tc>
        <w:tc>
          <w:tcPr>
            <w:tcW w:w="7655" w:type="dxa"/>
          </w:tcPr>
          <w:p w14:paraId="6BC5726F" w14:textId="77777777" w:rsidR="00F13A3E" w:rsidRDefault="00F13A3E" w:rsidP="00F13A3E">
            <w:pPr>
              <w:cnfStyle w:val="000000000000" w:firstRow="0" w:lastRow="0" w:firstColumn="0" w:lastColumn="0" w:oddVBand="0" w:evenVBand="0" w:oddHBand="0" w:evenHBand="0" w:firstRowFirstColumn="0" w:firstRowLastColumn="0" w:lastRowFirstColumn="0" w:lastRowLastColumn="0"/>
            </w:pPr>
            <w:r>
              <w:t>If complaint is substantiated, sport organisation will:</w:t>
            </w:r>
          </w:p>
          <w:p w14:paraId="10C3F0A8" w14:textId="77777777"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Initiate Disciplinary Action</w:t>
            </w:r>
          </w:p>
          <w:p w14:paraId="47F418E6" w14:textId="77777777"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Undertake Provisional Action prior to Disciplinary Action; or</w:t>
            </w:r>
          </w:p>
          <w:p w14:paraId="24B12571" w14:textId="6AE40BF2"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Refer to different level of the sport (the next level up)</w:t>
            </w:r>
          </w:p>
        </w:tc>
      </w:tr>
      <w:tr w:rsidR="00F13A3E" w14:paraId="53ABEE74"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1248BAD1" w14:textId="6CAD50A3" w:rsidR="00F13A3E" w:rsidRPr="00F13A3E" w:rsidRDefault="00F13A3E" w:rsidP="00F13A3E">
            <w:r w:rsidRPr="00F13A3E">
              <w:t>Step 6</w:t>
            </w:r>
          </w:p>
        </w:tc>
        <w:tc>
          <w:tcPr>
            <w:tcW w:w="7655" w:type="dxa"/>
          </w:tcPr>
          <w:p w14:paraId="587AFBBA" w14:textId="77777777" w:rsidR="00F13A3E" w:rsidRDefault="00F13A3E" w:rsidP="00F13A3E">
            <w:pPr>
              <w:cnfStyle w:val="000000000000" w:firstRow="0" w:lastRow="0" w:firstColumn="0" w:lastColumn="0" w:oddVBand="0" w:evenVBand="0" w:oddHBand="0" w:evenHBand="0" w:firstRowFirstColumn="0" w:firstRowLastColumn="0" w:lastRowFirstColumn="0" w:lastRowLastColumn="0"/>
            </w:pPr>
            <w:r>
              <w:t>Disciplinary Action may result in:</w:t>
            </w:r>
          </w:p>
          <w:p w14:paraId="0117E185" w14:textId="77777777" w:rsidR="00F13A3E" w:rsidRDefault="00F13A3E" w:rsidP="004330B8">
            <w:pPr>
              <w:pStyle w:val="ListContinue"/>
              <w:numPr>
                <w:ilvl w:val="0"/>
                <w:numId w:val="26"/>
              </w:numPr>
              <w:cnfStyle w:val="000000000000" w:firstRow="0" w:lastRow="0" w:firstColumn="0" w:lastColumn="0" w:oddVBand="0" w:evenVBand="0" w:oddHBand="0" w:evenHBand="0" w:firstRowFirstColumn="0" w:firstRowLastColumn="0" w:lastRowFirstColumn="0" w:lastRowLastColumn="0"/>
            </w:pPr>
            <w:r>
              <w:t>Warning</w:t>
            </w:r>
          </w:p>
          <w:p w14:paraId="0C3361B8" w14:textId="77777777"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Breach Offer</w:t>
            </w:r>
          </w:p>
          <w:p w14:paraId="0B338CC4" w14:textId="320CCEB9"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ADR#</w:t>
            </w:r>
          </w:p>
        </w:tc>
      </w:tr>
      <w:tr w:rsidR="00F13A3E" w14:paraId="2285E464"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05E7BB46" w14:textId="1176D0B7" w:rsidR="00F13A3E" w:rsidRPr="00F13A3E" w:rsidRDefault="00F13A3E" w:rsidP="00F13A3E">
            <w:r w:rsidRPr="00F13A3E">
              <w:t>Step 7</w:t>
            </w:r>
          </w:p>
        </w:tc>
        <w:tc>
          <w:tcPr>
            <w:tcW w:w="7655" w:type="dxa"/>
          </w:tcPr>
          <w:p w14:paraId="30B6C936" w14:textId="77777777" w:rsidR="00F13A3E" w:rsidRDefault="00F13A3E" w:rsidP="00F13A3E">
            <w:pPr>
              <w:cnfStyle w:val="000000000000" w:firstRow="0" w:lastRow="0" w:firstColumn="0" w:lastColumn="0" w:oddVBand="0" w:evenVBand="0" w:oddHBand="0" w:evenHBand="0" w:firstRowFirstColumn="0" w:firstRowLastColumn="0" w:lastRowFirstColumn="0" w:lastRowLastColumn="0"/>
            </w:pPr>
            <w:r>
              <w:t>If Breach Offer is disputed or ADR is unresolved, dispute may proceed to:</w:t>
            </w:r>
          </w:p>
          <w:p w14:paraId="6F51FBA0" w14:textId="77777777" w:rsidR="00F13A3E" w:rsidRDefault="00F13A3E" w:rsidP="004330B8">
            <w:pPr>
              <w:pStyle w:val="ListContinue"/>
              <w:numPr>
                <w:ilvl w:val="0"/>
                <w:numId w:val="27"/>
              </w:numPr>
              <w:cnfStyle w:val="000000000000" w:firstRow="0" w:lastRow="0" w:firstColumn="0" w:lastColumn="0" w:oddVBand="0" w:evenVBand="0" w:oddHBand="0" w:evenHBand="0" w:firstRowFirstColumn="0" w:firstRowLastColumn="0" w:lastRowFirstColumn="0" w:lastRowLastColumn="0"/>
            </w:pPr>
            <w:r>
              <w:t>NST, (from any level of sport with national level consent)</w:t>
            </w:r>
          </w:p>
          <w:p w14:paraId="26082BD2" w14:textId="709A75B7"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Internal Tribunal</w:t>
            </w:r>
          </w:p>
        </w:tc>
      </w:tr>
      <w:tr w:rsidR="00F13A3E" w14:paraId="40B276C6"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0597A6A6" w14:textId="0B678866" w:rsidR="00F13A3E" w:rsidRPr="00F13A3E" w:rsidRDefault="00F13A3E" w:rsidP="00F13A3E">
            <w:r w:rsidRPr="00F13A3E">
              <w:t>Step 8</w:t>
            </w:r>
          </w:p>
        </w:tc>
        <w:tc>
          <w:tcPr>
            <w:tcW w:w="7655" w:type="dxa"/>
          </w:tcPr>
          <w:p w14:paraId="2F290853" w14:textId="77777777" w:rsidR="00F13A3E" w:rsidRDefault="00F13A3E" w:rsidP="00F13A3E">
            <w:pPr>
              <w:cnfStyle w:val="000000000000" w:firstRow="0" w:lastRow="0" w:firstColumn="0" w:lastColumn="0" w:oddVBand="0" w:evenVBand="0" w:oddHBand="0" w:evenHBand="0" w:firstRowFirstColumn="0" w:firstRowLastColumn="0" w:lastRowFirstColumn="0" w:lastRowLastColumn="0"/>
            </w:pPr>
            <w:r>
              <w:t>If there is an appeal from the NST or Internal Tribunal, dispute may proceed to:</w:t>
            </w:r>
          </w:p>
          <w:p w14:paraId="54311C39" w14:textId="77777777" w:rsidR="00F13A3E" w:rsidRDefault="00F13A3E" w:rsidP="004330B8">
            <w:pPr>
              <w:pStyle w:val="ListContinue"/>
              <w:numPr>
                <w:ilvl w:val="0"/>
                <w:numId w:val="28"/>
              </w:numPr>
              <w:cnfStyle w:val="000000000000" w:firstRow="0" w:lastRow="0" w:firstColumn="0" w:lastColumn="0" w:oddVBand="0" w:evenVBand="0" w:oddHBand="0" w:evenHBand="0" w:firstRowFirstColumn="0" w:firstRowLastColumn="0" w:lastRowFirstColumn="0" w:lastRowLastColumn="0"/>
            </w:pPr>
            <w:r>
              <w:t>NST Appeals Division</w:t>
            </w:r>
          </w:p>
          <w:p w14:paraId="25E0EB60" w14:textId="7B14A483"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Internal Appeals Tribunal (only from Internal Tribunal)</w:t>
            </w:r>
          </w:p>
        </w:tc>
      </w:tr>
    </w:tbl>
    <w:p w14:paraId="4A112B63" w14:textId="77777777" w:rsidR="00F13A3E" w:rsidRPr="00D65CB9" w:rsidRDefault="00F13A3E" w:rsidP="00D65CB9">
      <w:r w:rsidRPr="00D65CB9">
        <w:rPr>
          <w:rStyle w:val="Strong"/>
        </w:rPr>
        <w:t># ADR</w:t>
      </w:r>
      <w:r w:rsidRPr="00D65CB9">
        <w:t>: Alternative Dispute Resolution refers to ways of resolving disputes without going to court, and might generally include mediation, conciliation, or case appraisal.</w:t>
      </w:r>
    </w:p>
    <w:p w14:paraId="2C7CF5F5" w14:textId="6B70542B" w:rsidR="00F13A3E" w:rsidRDefault="00F13A3E">
      <w:pPr>
        <w:spacing w:before="0" w:after="0" w:line="240" w:lineRule="auto"/>
      </w:pPr>
      <w:r>
        <w:br w:type="page"/>
      </w:r>
    </w:p>
    <w:p w14:paraId="277A23D8" w14:textId="073E1BC6" w:rsidR="00F13A3E" w:rsidRDefault="00F13A3E" w:rsidP="00F13A3E">
      <w:pPr>
        <w:pStyle w:val="Heading3"/>
      </w:pPr>
      <w:r>
        <w:lastRenderedPageBreak/>
        <w:t xml:space="preserve">Review and </w:t>
      </w:r>
      <w:r w:rsidR="00D45E85">
        <w:t>a</w:t>
      </w:r>
      <w:r>
        <w:t xml:space="preserve">ppeals </w:t>
      </w:r>
      <w:r w:rsidR="00F67CF0">
        <w:t>p</w:t>
      </w:r>
      <w:r>
        <w:t>olicy</w:t>
      </w:r>
    </w:p>
    <w:tbl>
      <w:tblPr>
        <w:tblStyle w:val="TableGrid"/>
        <w:tblW w:w="0" w:type="auto"/>
        <w:tblLook w:val="04A0" w:firstRow="1" w:lastRow="0" w:firstColumn="1" w:lastColumn="0" w:noHBand="0" w:noVBand="1"/>
      </w:tblPr>
      <w:tblGrid>
        <w:gridCol w:w="1271"/>
        <w:gridCol w:w="7655"/>
      </w:tblGrid>
      <w:tr w:rsidR="00F13A3E" w14:paraId="730D57F0"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20620BE3" w14:textId="77777777" w:rsidR="00F13A3E" w:rsidRPr="00F13A3E" w:rsidRDefault="00F13A3E" w:rsidP="001535B3">
            <w:r w:rsidRPr="00F13A3E">
              <w:t>Step 1</w:t>
            </w:r>
          </w:p>
        </w:tc>
        <w:tc>
          <w:tcPr>
            <w:tcW w:w="7655" w:type="dxa"/>
          </w:tcPr>
          <w:p w14:paraId="6C6ED5CF" w14:textId="460930E3" w:rsidR="00F13A3E" w:rsidRDefault="00F13A3E" w:rsidP="00F13A3E">
            <w:pPr>
              <w:cnfStyle w:val="000000000000" w:firstRow="0" w:lastRow="0" w:firstColumn="0" w:lastColumn="0" w:oddVBand="0" w:evenVBand="0" w:oddHBand="0" w:evenHBand="0" w:firstRowFirstColumn="0" w:firstRowLastColumn="0" w:lastRowFirstColumn="0" w:lastRowLastColumn="0"/>
            </w:pPr>
            <w:r>
              <w:t>Concern/complaint (not covered by the NIF or SIA determines that the matter is best handled under non-NIF policy) submitted to sport organisation or it is a matter initiated by the sport organisation itself</w:t>
            </w:r>
          </w:p>
        </w:tc>
      </w:tr>
      <w:tr w:rsidR="00F13A3E" w14:paraId="285CF022"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61F38833" w14:textId="77777777" w:rsidR="00F13A3E" w:rsidRPr="00F13A3E" w:rsidRDefault="00F13A3E" w:rsidP="001535B3">
            <w:r w:rsidRPr="00F13A3E">
              <w:t>Step 2</w:t>
            </w:r>
          </w:p>
        </w:tc>
        <w:tc>
          <w:tcPr>
            <w:tcW w:w="7655" w:type="dxa"/>
          </w:tcPr>
          <w:p w14:paraId="56BCE9AA" w14:textId="3A5CF5DD" w:rsidR="00F13A3E" w:rsidRDefault="00F13A3E" w:rsidP="00F13A3E">
            <w:pPr>
              <w:cnfStyle w:val="000000000000" w:firstRow="0" w:lastRow="0" w:firstColumn="0" w:lastColumn="0" w:oddVBand="0" w:evenVBand="0" w:oddHBand="0" w:evenHBand="0" w:firstRowFirstColumn="0" w:firstRowLastColumn="0" w:lastRowFirstColumn="0" w:lastRowLastColumn="0"/>
            </w:pPr>
            <w:r>
              <w:t>Informal dispute resolution (between parties or assisted resolution)</w:t>
            </w:r>
          </w:p>
        </w:tc>
      </w:tr>
      <w:tr w:rsidR="00F13A3E" w14:paraId="5FA137AD"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107505DF" w14:textId="77777777" w:rsidR="00F13A3E" w:rsidRPr="00F13A3E" w:rsidRDefault="00F13A3E" w:rsidP="001535B3">
            <w:r w:rsidRPr="00F13A3E">
              <w:t>Step 3</w:t>
            </w:r>
          </w:p>
        </w:tc>
        <w:tc>
          <w:tcPr>
            <w:tcW w:w="7655" w:type="dxa"/>
          </w:tcPr>
          <w:p w14:paraId="06ECBE24" w14:textId="77777777" w:rsidR="00F13A3E" w:rsidRDefault="00F13A3E" w:rsidP="00F13A3E">
            <w:pPr>
              <w:cnfStyle w:val="000000000000" w:firstRow="0" w:lastRow="0" w:firstColumn="0" w:lastColumn="0" w:oddVBand="0" w:evenVBand="0" w:oddHBand="0" w:evenHBand="0" w:firstRowFirstColumn="0" w:firstRowLastColumn="0" w:lastRowFirstColumn="0" w:lastRowLastColumn="0"/>
            </w:pPr>
            <w:r>
              <w:t>If unresolved, formal ADR through either:</w:t>
            </w:r>
          </w:p>
          <w:p w14:paraId="43473076" w14:textId="77777777"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Internal/external mediation or conciliation</w:t>
            </w:r>
          </w:p>
          <w:p w14:paraId="746EF45B" w14:textId="08F30333"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NST mediation, conciliation or case appraisal</w:t>
            </w:r>
          </w:p>
        </w:tc>
      </w:tr>
      <w:tr w:rsidR="00F13A3E" w14:paraId="547E37A0"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46E1C1FC" w14:textId="77777777" w:rsidR="00F13A3E" w:rsidRPr="00F13A3E" w:rsidRDefault="00F13A3E" w:rsidP="001535B3">
            <w:r w:rsidRPr="00F13A3E">
              <w:t>Step 4</w:t>
            </w:r>
          </w:p>
        </w:tc>
        <w:tc>
          <w:tcPr>
            <w:tcW w:w="7655" w:type="dxa"/>
          </w:tcPr>
          <w:p w14:paraId="44E4E7EB" w14:textId="77777777" w:rsidR="00F13A3E" w:rsidRDefault="00F13A3E" w:rsidP="00F13A3E">
            <w:pPr>
              <w:cnfStyle w:val="000000000000" w:firstRow="0" w:lastRow="0" w:firstColumn="0" w:lastColumn="0" w:oddVBand="0" w:evenVBand="0" w:oddHBand="0" w:evenHBand="0" w:firstRowFirstColumn="0" w:firstRowLastColumn="0" w:lastRowFirstColumn="0" w:lastRowLastColumn="0"/>
            </w:pPr>
            <w:r>
              <w:t>If ADR is unresolved, dispute proceeds to:</w:t>
            </w:r>
          </w:p>
          <w:p w14:paraId="1CA20475" w14:textId="77777777" w:rsidR="00F13A3E" w:rsidRDefault="00F13A3E" w:rsidP="004330B8">
            <w:pPr>
              <w:pStyle w:val="ListContinue"/>
              <w:numPr>
                <w:ilvl w:val="0"/>
                <w:numId w:val="24"/>
              </w:numPr>
              <w:cnfStyle w:val="000000000000" w:firstRow="0" w:lastRow="0" w:firstColumn="0" w:lastColumn="0" w:oddVBand="0" w:evenVBand="0" w:oddHBand="0" w:evenHBand="0" w:firstRowFirstColumn="0" w:firstRowLastColumn="0" w:lastRowFirstColumn="0" w:lastRowLastColumn="0"/>
            </w:pPr>
            <w:r>
              <w:t>NST, (from any level of sport with national level consent)</w:t>
            </w:r>
          </w:p>
          <w:p w14:paraId="5DDBCE17" w14:textId="7E359DDE"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Internal Tribunal</w:t>
            </w:r>
          </w:p>
        </w:tc>
      </w:tr>
      <w:tr w:rsidR="00F13A3E" w14:paraId="61A27F15"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0928C4DA" w14:textId="77777777" w:rsidR="00F13A3E" w:rsidRPr="00F13A3E" w:rsidRDefault="00F13A3E" w:rsidP="001535B3">
            <w:r w:rsidRPr="00F13A3E">
              <w:t>Step 5</w:t>
            </w:r>
          </w:p>
        </w:tc>
        <w:tc>
          <w:tcPr>
            <w:tcW w:w="7655" w:type="dxa"/>
          </w:tcPr>
          <w:p w14:paraId="1A556A90" w14:textId="77777777" w:rsidR="00F13A3E" w:rsidRDefault="00F13A3E" w:rsidP="00F13A3E">
            <w:pPr>
              <w:cnfStyle w:val="000000000000" w:firstRow="0" w:lastRow="0" w:firstColumn="0" w:lastColumn="0" w:oddVBand="0" w:evenVBand="0" w:oddHBand="0" w:evenHBand="0" w:firstRowFirstColumn="0" w:firstRowLastColumn="0" w:lastRowFirstColumn="0" w:lastRowLastColumn="0"/>
            </w:pPr>
            <w:r>
              <w:t>If there is an appeal from the NST or Internal Tribunal, dispute may proceed to:</w:t>
            </w:r>
          </w:p>
          <w:p w14:paraId="59E5D88C" w14:textId="77777777" w:rsidR="00F13A3E" w:rsidRDefault="00F13A3E" w:rsidP="004330B8">
            <w:pPr>
              <w:pStyle w:val="ListContinue"/>
              <w:numPr>
                <w:ilvl w:val="0"/>
                <w:numId w:val="23"/>
              </w:numPr>
              <w:cnfStyle w:val="000000000000" w:firstRow="0" w:lastRow="0" w:firstColumn="0" w:lastColumn="0" w:oddVBand="0" w:evenVBand="0" w:oddHBand="0" w:evenHBand="0" w:firstRowFirstColumn="0" w:firstRowLastColumn="0" w:lastRowFirstColumn="0" w:lastRowLastColumn="0"/>
            </w:pPr>
            <w:r>
              <w:t>NST Appeals Division</w:t>
            </w:r>
          </w:p>
          <w:p w14:paraId="097ED448" w14:textId="348674B0"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Internal Appeals Tribunal (only from Internal Tribunal)</w:t>
            </w:r>
          </w:p>
        </w:tc>
      </w:tr>
    </w:tbl>
    <w:p w14:paraId="4F59E723" w14:textId="4FD3407D" w:rsidR="00F13A3E" w:rsidRDefault="00F13A3E" w:rsidP="00F13A3E">
      <w:pPr>
        <w:pStyle w:val="Heading3"/>
      </w:pPr>
      <w:r w:rsidRPr="00F13A3E">
        <w:t xml:space="preserve">Personal </w:t>
      </w:r>
      <w:r w:rsidR="00D45E85">
        <w:t>g</w:t>
      </w:r>
      <w:r w:rsidRPr="00F13A3E">
        <w:t xml:space="preserve">rievance </w:t>
      </w:r>
      <w:r w:rsidR="00F67CF0">
        <w:t>p</w:t>
      </w:r>
      <w:r w:rsidRPr="00F13A3E">
        <w:t>olicy</w:t>
      </w:r>
    </w:p>
    <w:tbl>
      <w:tblPr>
        <w:tblStyle w:val="TableGrid"/>
        <w:tblW w:w="0" w:type="auto"/>
        <w:tblLook w:val="04A0" w:firstRow="1" w:lastRow="0" w:firstColumn="1" w:lastColumn="0" w:noHBand="0" w:noVBand="1"/>
      </w:tblPr>
      <w:tblGrid>
        <w:gridCol w:w="1271"/>
        <w:gridCol w:w="7655"/>
      </w:tblGrid>
      <w:tr w:rsidR="00F13A3E" w14:paraId="77FF0028"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0C4FE3FB" w14:textId="77777777" w:rsidR="00F13A3E" w:rsidRPr="00F13A3E" w:rsidRDefault="00F13A3E" w:rsidP="001535B3">
            <w:r w:rsidRPr="00F13A3E">
              <w:t>Step 1</w:t>
            </w:r>
          </w:p>
        </w:tc>
        <w:tc>
          <w:tcPr>
            <w:tcW w:w="7655" w:type="dxa"/>
          </w:tcPr>
          <w:p w14:paraId="6FE9D0DF" w14:textId="7D500B8F" w:rsidR="00F13A3E" w:rsidRDefault="00F13A3E" w:rsidP="00F13A3E">
            <w:pPr>
              <w:cnfStyle w:val="000000000000" w:firstRow="0" w:lastRow="0" w:firstColumn="0" w:lastColumn="0" w:oddVBand="0" w:evenVBand="0" w:oddHBand="0" w:evenHBand="0" w:firstRowFirstColumn="0" w:firstRowLastColumn="0" w:lastRowFirstColumn="0" w:lastRowLastColumn="0"/>
            </w:pPr>
            <w:r>
              <w:t>Informal dispute resolution between parties</w:t>
            </w:r>
          </w:p>
        </w:tc>
      </w:tr>
      <w:tr w:rsidR="00F13A3E" w14:paraId="4CB612D1"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0CB5F632" w14:textId="77777777" w:rsidR="00F13A3E" w:rsidRPr="00F13A3E" w:rsidRDefault="00F13A3E" w:rsidP="001535B3">
            <w:r w:rsidRPr="00F13A3E">
              <w:t>Step 2</w:t>
            </w:r>
          </w:p>
        </w:tc>
        <w:tc>
          <w:tcPr>
            <w:tcW w:w="7655" w:type="dxa"/>
          </w:tcPr>
          <w:p w14:paraId="3BB292CA" w14:textId="02D86391" w:rsidR="00F13A3E" w:rsidRDefault="00F13A3E" w:rsidP="00F13A3E">
            <w:pPr>
              <w:cnfStyle w:val="000000000000" w:firstRow="0" w:lastRow="0" w:firstColumn="0" w:lastColumn="0" w:oddVBand="0" w:evenVBand="0" w:oddHBand="0" w:evenHBand="0" w:firstRowFirstColumn="0" w:firstRowLastColumn="0" w:lastRowFirstColumn="0" w:lastRowLastColumn="0"/>
            </w:pPr>
            <w:r>
              <w:t>If unresolved, or not possible to be resolved, refer to the management of the sporting organisation at the level of the dispute or, if it relates to them, to the next level of the sport</w:t>
            </w:r>
          </w:p>
        </w:tc>
      </w:tr>
      <w:tr w:rsidR="00F13A3E" w14:paraId="7320A9AD" w14:textId="77777777" w:rsidTr="00766211">
        <w:tc>
          <w:tcPr>
            <w:cnfStyle w:val="001000000000" w:firstRow="0" w:lastRow="0" w:firstColumn="1" w:lastColumn="0" w:oddVBand="0" w:evenVBand="0" w:oddHBand="0" w:evenHBand="0" w:firstRowFirstColumn="0" w:firstRowLastColumn="0" w:lastRowFirstColumn="0" w:lastRowLastColumn="0"/>
            <w:tcW w:w="1271" w:type="dxa"/>
          </w:tcPr>
          <w:p w14:paraId="7FFCC80B" w14:textId="77777777" w:rsidR="00F13A3E" w:rsidRPr="00F13A3E" w:rsidRDefault="00F13A3E" w:rsidP="001535B3">
            <w:r w:rsidRPr="00F13A3E">
              <w:t>Step 3</w:t>
            </w:r>
          </w:p>
        </w:tc>
        <w:tc>
          <w:tcPr>
            <w:tcW w:w="7655" w:type="dxa"/>
          </w:tcPr>
          <w:p w14:paraId="09BBBC16" w14:textId="77777777" w:rsidR="00F13A3E" w:rsidRDefault="00F13A3E" w:rsidP="00F13A3E">
            <w:pPr>
              <w:cnfStyle w:val="000000000000" w:firstRow="0" w:lastRow="0" w:firstColumn="0" w:lastColumn="0" w:oddVBand="0" w:evenVBand="0" w:oddHBand="0" w:evenHBand="0" w:firstRowFirstColumn="0" w:firstRowLastColumn="0" w:lastRowFirstColumn="0" w:lastRowLastColumn="0"/>
            </w:pPr>
            <w:r>
              <w:t>Refer for facilitated resolution through either:</w:t>
            </w:r>
          </w:p>
          <w:p w14:paraId="022B4B3F" w14:textId="77777777" w:rsidR="00F13A3E" w:rsidRDefault="00F13A3E" w:rsidP="004330B8">
            <w:pPr>
              <w:pStyle w:val="ListContinue"/>
              <w:numPr>
                <w:ilvl w:val="0"/>
                <w:numId w:val="25"/>
              </w:numPr>
              <w:cnfStyle w:val="000000000000" w:firstRow="0" w:lastRow="0" w:firstColumn="0" w:lastColumn="0" w:oddVBand="0" w:evenVBand="0" w:oddHBand="0" w:evenHBand="0" w:firstRowFirstColumn="0" w:firstRowLastColumn="0" w:lastRowFirstColumn="0" w:lastRowLastColumn="0"/>
            </w:pPr>
            <w:r>
              <w:t>Sport appointed independent third party</w:t>
            </w:r>
          </w:p>
          <w:p w14:paraId="696C19A4" w14:textId="51F26CA7" w:rsidR="00F13A3E" w:rsidRDefault="00F13A3E" w:rsidP="004330B8">
            <w:pPr>
              <w:pStyle w:val="ListContinue"/>
              <w:cnfStyle w:val="000000000000" w:firstRow="0" w:lastRow="0" w:firstColumn="0" w:lastColumn="0" w:oddVBand="0" w:evenVBand="0" w:oddHBand="0" w:evenHBand="0" w:firstRowFirstColumn="0" w:firstRowLastColumn="0" w:lastRowFirstColumn="0" w:lastRowLastColumn="0"/>
            </w:pPr>
            <w:r>
              <w:t>If permitted, NST mediation</w:t>
            </w:r>
          </w:p>
        </w:tc>
      </w:tr>
    </w:tbl>
    <w:p w14:paraId="2DC3C0A7" w14:textId="77777777" w:rsidR="00F13A3E" w:rsidRDefault="00F13A3E">
      <w:pPr>
        <w:spacing w:before="0" w:after="0" w:line="240" w:lineRule="auto"/>
        <w:rPr>
          <w:lang w:val="en-US"/>
        </w:rPr>
      </w:pPr>
      <w:r>
        <w:rPr>
          <w:lang w:val="en-US"/>
        </w:rPr>
        <w:br w:type="page"/>
      </w:r>
    </w:p>
    <w:p w14:paraId="0A20EA11" w14:textId="157BFD27" w:rsidR="00F13A3E" w:rsidRPr="00F13A3E" w:rsidRDefault="00F13A3E" w:rsidP="00F13A3E">
      <w:pPr>
        <w:pStyle w:val="Heading3"/>
      </w:pPr>
      <w:r w:rsidRPr="00F13A3E">
        <w:lastRenderedPageBreak/>
        <w:t>NST process</w:t>
      </w:r>
    </w:p>
    <w:p w14:paraId="64C50386" w14:textId="5D19AA70" w:rsidR="00F13A3E" w:rsidRPr="00F13A3E" w:rsidRDefault="00F13A3E" w:rsidP="00F13A3E">
      <w:pPr>
        <w:pStyle w:val="Heading3"/>
      </w:pPr>
      <w:r>
        <w:rPr>
          <w:noProof/>
        </w:rPr>
        <w:drawing>
          <wp:inline distT="0" distB="0" distL="0" distR="0" wp14:anchorId="3CAC7F0D" wp14:editId="24876FC2">
            <wp:extent cx="5731510" cy="7705090"/>
            <wp:effectExtent l="0" t="0" r="0" b="3810"/>
            <wp:docPr id="3" name="Picture 3" descr="NST process flowchart &#10;1.Complete steps to commence process &#10;Complete the preliminary steps under the relevant policy (refer to “Steps to take” pages 3 &amp; 4). Contact the NST (email or phone) with any questions.&#10;&#10;2.ApplicationCoordinate information and signatures from all Parties into application form.Sign application form and/or indicate other agreement to process.Provide details of relevant internal policies.Pay application fee (depending on policy).&#10;&#10;3.ValidationProvide additional material if required by the NST Registry for validation.&#10;&#10;4.Preliminary ConferenceAttend Preliminary Conference with NST Registry and all Parties to agree on administrative and logistical matters. Sign Arbitration/ Conciliation/ Mediation/ Case Appraisal Agreement reflecting agreed outcomes of Preliminary Conference.&#10;&#10;5.NST Member(s) AppointedIndicate if there is any bias or other issues to prevent proposed appointee(s).&#10;&#10;6.Service Fee PaymentPay full or portion of estimated service fees (depending on policy and agreement between Parties).&#10;&#10;7.Pre-Hearing Conference &#10;(if required)Attend meeting with NST Member(s) and other Parties (if required).&#10;&#10;8.Submissions and EvidenceProvide submissions, evidence; and arrange witness statements you wish to file in line with agreed timeframes (if required).&#10;&#10;9.ConsiderationAttend Hearing or Mediation, virtually or &#10;in-person (if required).&#10;&#10;10.OutcomeReceive decision and provide any editorial comments (if Arbitration or Case Appraisal). Sign Settlement Agreement in collaboration with Parties (if Mediation or Conciliation).&#10;&#10;10a.AppealOption to lodge an Appeal (if permitted under Policy) that may be heard in Appeals Division of the NST.&#10;&#10;11.Fee Finalisation (if required)Respond with position on proposed additional service fees (if required). Pay any outstanding service fees as determined to be payable by NST CEO in consultation with Parties.&#10;&#10;12.Publication &#10;(if required)Respond to proposed publication approach, including any redactions (if Arbitration). Note and share published decision as necessary (if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T process flowchart &#10;1.Complete steps to commence process &#10;Complete the preliminary steps under the relevant policy (refer to “Steps to take” pages 3 &amp; 4). Contact the NST (email or phone) with any questions.&#10;&#10;2.ApplicationCoordinate information and signatures from all Parties into application form.Sign application form and/or indicate other agreement to process.Provide details of relevant internal policies.Pay application fee (depending on policy).&#10;&#10;3.ValidationProvide additional material if required by the NST Registry for validation.&#10;&#10;4.Preliminary ConferenceAttend Preliminary Conference with NST Registry and all Parties to agree on administrative and logistical matters. Sign Arbitration/ Conciliation/ Mediation/ Case Appraisal Agreement reflecting agreed outcomes of Preliminary Conference.&#10;&#10;5.NST Member(s) AppointedIndicate if there is any bias or other issues to prevent proposed appointee(s).&#10;&#10;6.Service Fee PaymentPay full or portion of estimated service fees (depending on policy and agreement between Parties).&#10;&#10;7.Pre-Hearing Conference &#10;(if required)Attend meeting with NST Member(s) and other Parties (if required).&#10;&#10;8.Submissions and EvidenceProvide submissions, evidence; and arrange witness statements you wish to file in line with agreed timeframes (if required).&#10;&#10;9.ConsiderationAttend Hearing or Mediation, virtually or &#10;in-person (if required).&#10;&#10;10.OutcomeReceive decision and provide any editorial comments (if Arbitration or Case Appraisal). Sign Settlement Agreement in collaboration with Parties (if Mediation or Conciliation).&#10;&#10;10a.AppealOption to lodge an Appeal (if permitted under Policy) that may be heard in Appeals Division of the NST.&#10;&#10;11.Fee Finalisation (if required)Respond with position on proposed additional service fees (if required). Pay any outstanding service fees as determined to be payable by NST CEO in consultation with Parties.&#10;&#10;12.Publication &#10;(if required)Respond to proposed publication approach, including any redactions (if Arbitration). Note and share published decision as necessary (if required)."/>
                    <pic:cNvPicPr/>
                  </pic:nvPicPr>
                  <pic:blipFill>
                    <a:blip r:embed="rId14">
                      <a:extLst>
                        <a:ext uri="{28A0092B-C50C-407E-A947-70E740481C1C}">
                          <a14:useLocalDpi xmlns:a14="http://schemas.microsoft.com/office/drawing/2010/main" val="0"/>
                        </a:ext>
                      </a:extLst>
                    </a:blip>
                    <a:stretch>
                      <a:fillRect/>
                    </a:stretch>
                  </pic:blipFill>
                  <pic:spPr>
                    <a:xfrm>
                      <a:off x="0" y="0"/>
                      <a:ext cx="5731510" cy="7705090"/>
                    </a:xfrm>
                    <a:prstGeom prst="rect">
                      <a:avLst/>
                    </a:prstGeom>
                  </pic:spPr>
                </pic:pic>
              </a:graphicData>
            </a:graphic>
          </wp:inline>
        </w:drawing>
      </w:r>
    </w:p>
    <w:sectPr w:rsidR="00F13A3E" w:rsidRPr="00F13A3E" w:rsidSect="00F13A3E">
      <w:type w:val="continuous"/>
      <w:pgSz w:w="11906" w:h="16838"/>
      <w:pgMar w:top="226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F097" w14:textId="77777777" w:rsidR="00F13A3E" w:rsidRDefault="00F13A3E" w:rsidP="00F13A3E">
      <w:r>
        <w:separator/>
      </w:r>
    </w:p>
  </w:endnote>
  <w:endnote w:type="continuationSeparator" w:id="0">
    <w:p w14:paraId="37949CE3" w14:textId="77777777" w:rsidR="00F13A3E" w:rsidRDefault="00F13A3E" w:rsidP="00F1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Regular">
    <w:altName w:val="Calibri"/>
    <w:charset w:val="4D"/>
    <w:family w:val="auto"/>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1337762"/>
      <w:docPartObj>
        <w:docPartGallery w:val="Page Numbers (Bottom of Page)"/>
        <w:docPartUnique/>
      </w:docPartObj>
    </w:sdtPr>
    <w:sdtEndPr>
      <w:rPr>
        <w:rStyle w:val="PageNumber"/>
      </w:rPr>
    </w:sdtEndPr>
    <w:sdtContent>
      <w:p w14:paraId="52BB2974" w14:textId="05E3736D" w:rsidR="00F13A3E" w:rsidRDefault="00F13A3E" w:rsidP="00AA6C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5B1A45" w14:textId="77777777" w:rsidR="00F13A3E" w:rsidRDefault="00F13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059951"/>
      <w:docPartObj>
        <w:docPartGallery w:val="Page Numbers (Bottom of Page)"/>
        <w:docPartUnique/>
      </w:docPartObj>
    </w:sdtPr>
    <w:sdtEndPr>
      <w:rPr>
        <w:rStyle w:val="PageNumber"/>
      </w:rPr>
    </w:sdtEndPr>
    <w:sdtContent>
      <w:p w14:paraId="462BD344" w14:textId="773CE9A6" w:rsidR="00F13A3E" w:rsidRDefault="00F13A3E" w:rsidP="00AA6C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F3F8073" w14:textId="77777777" w:rsidR="00F13A3E" w:rsidRDefault="00F13A3E" w:rsidP="00433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C16" w14:textId="77777777" w:rsidR="00F13A3E" w:rsidRPr="004330B8" w:rsidRDefault="00F13A3E" w:rsidP="004330B8">
    <w:pPr>
      <w:pStyle w:val="Website"/>
    </w:pPr>
    <w:r w:rsidRPr="004330B8">
      <w:t>National sports tribunal</w:t>
    </w:r>
  </w:p>
  <w:p w14:paraId="45DF4191" w14:textId="77777777" w:rsidR="00F13A3E" w:rsidRPr="00F13A3E" w:rsidRDefault="00F13A3E" w:rsidP="004330B8">
    <w:pPr>
      <w:pStyle w:val="FootnoteText"/>
    </w:pPr>
    <w:r w:rsidRPr="00F13A3E">
      <w:t>enquiries@nationalsportstribunal.gov.au</w:t>
    </w:r>
  </w:p>
  <w:p w14:paraId="3346E315" w14:textId="468ACB27" w:rsidR="00F13A3E" w:rsidRPr="00F13A3E" w:rsidRDefault="00F13A3E" w:rsidP="004330B8">
    <w:pPr>
      <w:pStyle w:val="FootnoteText"/>
    </w:pPr>
    <w:r w:rsidRPr="00F13A3E">
      <w:t>02 6289 387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AE02" w14:textId="77777777" w:rsidR="00F13A3E" w:rsidRDefault="00F13A3E" w:rsidP="00F13A3E">
      <w:r>
        <w:separator/>
      </w:r>
    </w:p>
  </w:footnote>
  <w:footnote w:type="continuationSeparator" w:id="0">
    <w:p w14:paraId="47356E39" w14:textId="77777777" w:rsidR="00F13A3E" w:rsidRDefault="00F13A3E" w:rsidP="00F1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3D49" w14:textId="77777777" w:rsidR="004330B8" w:rsidRDefault="00433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C119" w14:textId="3DBF0AA3" w:rsidR="00F13A3E" w:rsidRDefault="00F13A3E" w:rsidP="00F13A3E">
    <w:pPr>
      <w:pStyle w:val="Header"/>
    </w:pPr>
    <w:r>
      <w:rPr>
        <w:noProof/>
      </w:rPr>
      <w:drawing>
        <wp:anchor distT="0" distB="0" distL="114300" distR="114300" simplePos="0" relativeHeight="251658240" behindDoc="1" locked="0" layoutInCell="1" allowOverlap="1" wp14:anchorId="6507D412" wp14:editId="5B64757E">
          <wp:simplePos x="0" y="0"/>
          <wp:positionH relativeFrom="page">
            <wp:posOffset>0</wp:posOffset>
          </wp:positionH>
          <wp:positionV relativeFrom="page">
            <wp:posOffset>64059</wp:posOffset>
          </wp:positionV>
          <wp:extent cx="7560000" cy="125788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8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5095" w14:textId="34277623" w:rsidR="00F13A3E" w:rsidRDefault="00F13A3E">
    <w:pPr>
      <w:pStyle w:val="Header"/>
    </w:pPr>
    <w:r>
      <w:rPr>
        <w:noProof/>
      </w:rPr>
      <w:drawing>
        <wp:anchor distT="0" distB="0" distL="114300" distR="114300" simplePos="0" relativeHeight="251659264" behindDoc="1" locked="0" layoutInCell="1" allowOverlap="1" wp14:anchorId="68EBF773" wp14:editId="12A1EC70">
          <wp:simplePos x="0" y="0"/>
          <wp:positionH relativeFrom="page">
            <wp:align>left</wp:align>
          </wp:positionH>
          <wp:positionV relativeFrom="page">
            <wp:align>top</wp:align>
          </wp:positionV>
          <wp:extent cx="7560000" cy="1386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6863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089C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DAA9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5288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3AB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2A7A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646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02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18B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ED2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4E51B1"/>
    <w:multiLevelType w:val="hybridMultilevel"/>
    <w:tmpl w:val="504E4E4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D76B83"/>
    <w:multiLevelType w:val="hybridMultilevel"/>
    <w:tmpl w:val="BA526F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372F76"/>
    <w:multiLevelType w:val="hybridMultilevel"/>
    <w:tmpl w:val="F8628D90"/>
    <w:lvl w:ilvl="0" w:tplc="DB8C209C">
      <w:start w:val="1"/>
      <w:numFmt w:val="lowerLetter"/>
      <w:pStyle w:val="ListContinue"/>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2A814B78"/>
    <w:multiLevelType w:val="hybridMultilevel"/>
    <w:tmpl w:val="091E06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5378F7"/>
    <w:multiLevelType w:val="hybridMultilevel"/>
    <w:tmpl w:val="9B5698F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5204FA"/>
    <w:multiLevelType w:val="hybridMultilevel"/>
    <w:tmpl w:val="9B5698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2149A7"/>
    <w:multiLevelType w:val="hybridMultilevel"/>
    <w:tmpl w:val="9EC67D0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87231D"/>
    <w:multiLevelType w:val="hybridMultilevel"/>
    <w:tmpl w:val="A0AC9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31307D"/>
    <w:multiLevelType w:val="hybridMultilevel"/>
    <w:tmpl w:val="E4368C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194E21"/>
    <w:multiLevelType w:val="hybridMultilevel"/>
    <w:tmpl w:val="9EC67D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567FB5"/>
    <w:multiLevelType w:val="hybridMultilevel"/>
    <w:tmpl w:val="19F636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822E9B"/>
    <w:multiLevelType w:val="hybridMultilevel"/>
    <w:tmpl w:val="5428EB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4"/>
  </w:num>
  <w:num w:numId="3">
    <w:abstractNumId w:val="11"/>
  </w:num>
  <w:num w:numId="4">
    <w:abstractNumId w:val="21"/>
  </w:num>
  <w:num w:numId="5">
    <w:abstractNumId w:val="20"/>
  </w:num>
  <w:num w:numId="6">
    <w:abstractNumId w:val="15"/>
  </w:num>
  <w:num w:numId="7">
    <w:abstractNumId w:val="16"/>
  </w:num>
  <w:num w:numId="8">
    <w:abstractNumId w:val="13"/>
  </w:num>
  <w:num w:numId="9">
    <w:abstractNumId w:val="17"/>
  </w:num>
  <w:num w:numId="10">
    <w:abstractNumId w:val="19"/>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3E"/>
    <w:rsid w:val="000336B7"/>
    <w:rsid w:val="003E45BE"/>
    <w:rsid w:val="004330B8"/>
    <w:rsid w:val="005035B6"/>
    <w:rsid w:val="00766211"/>
    <w:rsid w:val="00AD357E"/>
    <w:rsid w:val="00BB5107"/>
    <w:rsid w:val="00D45E85"/>
    <w:rsid w:val="00D65CB9"/>
    <w:rsid w:val="00DC2663"/>
    <w:rsid w:val="00F13A3E"/>
    <w:rsid w:val="00F6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5BA3D"/>
  <w15:chartTrackingRefBased/>
  <w15:docId w15:val="{3E6DC739-4F58-4E47-97F9-31808868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B8"/>
    <w:pPr>
      <w:spacing w:before="120" w:after="120" w:line="259" w:lineRule="auto"/>
    </w:pPr>
    <w:rPr>
      <w:rFonts w:ascii="Arial" w:hAnsi="Arial" w:cs="Arial"/>
      <w:sz w:val="22"/>
    </w:rPr>
  </w:style>
  <w:style w:type="paragraph" w:styleId="Heading1">
    <w:name w:val="heading 1"/>
    <w:basedOn w:val="Title"/>
    <w:next w:val="Normal"/>
    <w:link w:val="Heading1Char"/>
    <w:uiPriority w:val="9"/>
    <w:qFormat/>
    <w:rsid w:val="00BB5107"/>
    <w:pPr>
      <w:spacing w:before="120" w:after="120" w:line="276" w:lineRule="auto"/>
      <w:outlineLvl w:val="0"/>
    </w:pPr>
    <w:rPr>
      <w:rFonts w:ascii="Arial" w:hAnsi="Arial" w:cs="Segoe UI"/>
      <w:b/>
      <w:bCs/>
      <w:spacing w:val="0"/>
      <w:sz w:val="56"/>
      <w:szCs w:val="72"/>
    </w:rPr>
  </w:style>
  <w:style w:type="paragraph" w:styleId="Heading2">
    <w:name w:val="heading 2"/>
    <w:basedOn w:val="NSTH2"/>
    <w:next w:val="Normal"/>
    <w:link w:val="Heading2Char"/>
    <w:uiPriority w:val="9"/>
    <w:unhideWhenUsed/>
    <w:qFormat/>
    <w:rsid w:val="00F13A3E"/>
    <w:pPr>
      <w:outlineLvl w:val="1"/>
    </w:pPr>
    <w:rPr>
      <w:rFonts w:ascii="Arial" w:hAnsi="Arial" w:cs="Arial"/>
    </w:rPr>
  </w:style>
  <w:style w:type="paragraph" w:styleId="Heading3">
    <w:name w:val="heading 3"/>
    <w:basedOn w:val="Heading2"/>
    <w:next w:val="Normal"/>
    <w:link w:val="Heading3Char"/>
    <w:uiPriority w:val="9"/>
    <w:unhideWhenUsed/>
    <w:qFormat/>
    <w:rsid w:val="004330B8"/>
    <w:pPr>
      <w:outlineLvl w:val="2"/>
    </w:pPr>
    <w:rPr>
      <w:color w:val="806000" w:themeColor="accent4"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07"/>
    <w:rPr>
      <w:rFonts w:ascii="Arial" w:hAnsi="Arial" w:cs="Segoe UI"/>
      <w:b/>
      <w:bCs/>
      <w:caps/>
      <w:color w:val="323232"/>
      <w:sz w:val="56"/>
      <w:szCs w:val="72"/>
      <w:lang w:val="en-US"/>
    </w:rPr>
  </w:style>
  <w:style w:type="paragraph" w:styleId="Header">
    <w:name w:val="header"/>
    <w:basedOn w:val="Normal"/>
    <w:link w:val="HeaderChar"/>
    <w:uiPriority w:val="99"/>
    <w:unhideWhenUsed/>
    <w:rsid w:val="00F13A3E"/>
    <w:pPr>
      <w:tabs>
        <w:tab w:val="center" w:pos="4513"/>
        <w:tab w:val="right" w:pos="9026"/>
      </w:tabs>
    </w:pPr>
  </w:style>
  <w:style w:type="character" w:customStyle="1" w:styleId="HeaderChar">
    <w:name w:val="Header Char"/>
    <w:basedOn w:val="DefaultParagraphFont"/>
    <w:link w:val="Header"/>
    <w:uiPriority w:val="99"/>
    <w:rsid w:val="00F13A3E"/>
  </w:style>
  <w:style w:type="paragraph" w:styleId="Footer">
    <w:name w:val="footer"/>
    <w:basedOn w:val="Normal"/>
    <w:link w:val="FooterChar"/>
    <w:uiPriority w:val="99"/>
    <w:unhideWhenUsed/>
    <w:rsid w:val="00F13A3E"/>
    <w:pPr>
      <w:tabs>
        <w:tab w:val="center" w:pos="4513"/>
        <w:tab w:val="right" w:pos="9026"/>
      </w:tabs>
    </w:pPr>
  </w:style>
  <w:style w:type="character" w:customStyle="1" w:styleId="FooterChar">
    <w:name w:val="Footer Char"/>
    <w:basedOn w:val="DefaultParagraphFont"/>
    <w:link w:val="Footer"/>
    <w:uiPriority w:val="99"/>
    <w:rsid w:val="00F13A3E"/>
  </w:style>
  <w:style w:type="paragraph" w:styleId="Title">
    <w:name w:val="Title"/>
    <w:basedOn w:val="Normal"/>
    <w:link w:val="TitleChar"/>
    <w:uiPriority w:val="99"/>
    <w:qFormat/>
    <w:rsid w:val="00F13A3E"/>
    <w:pPr>
      <w:autoSpaceDE w:val="0"/>
      <w:autoSpaceDN w:val="0"/>
      <w:adjustRightInd w:val="0"/>
      <w:spacing w:before="60" w:after="794" w:line="800" w:lineRule="atLeast"/>
      <w:textAlignment w:val="center"/>
    </w:pPr>
    <w:rPr>
      <w:rFonts w:ascii="Bebas-Regular" w:hAnsi="Bebas-Regular" w:cs="Bebas-Regular"/>
      <w:caps/>
      <w:color w:val="323232"/>
      <w:spacing w:val="20"/>
      <w:sz w:val="78"/>
      <w:szCs w:val="78"/>
      <w:lang w:val="en-US"/>
    </w:rPr>
  </w:style>
  <w:style w:type="character" w:customStyle="1" w:styleId="TitleChar">
    <w:name w:val="Title Char"/>
    <w:basedOn w:val="DefaultParagraphFont"/>
    <w:link w:val="Title"/>
    <w:uiPriority w:val="99"/>
    <w:rsid w:val="00F13A3E"/>
    <w:rPr>
      <w:rFonts w:ascii="Bebas-Regular" w:hAnsi="Bebas-Regular" w:cs="Bebas-Regular"/>
      <w:caps/>
      <w:color w:val="323232"/>
      <w:spacing w:val="20"/>
      <w:sz w:val="78"/>
      <w:szCs w:val="78"/>
      <w:lang w:val="en-US"/>
    </w:rPr>
  </w:style>
  <w:style w:type="paragraph" w:customStyle="1" w:styleId="NSTH1">
    <w:name w:val="NST H1"/>
    <w:basedOn w:val="Normal"/>
    <w:uiPriority w:val="99"/>
    <w:rsid w:val="00F13A3E"/>
    <w:pPr>
      <w:autoSpaceDE w:val="0"/>
      <w:autoSpaceDN w:val="0"/>
      <w:adjustRightInd w:val="0"/>
      <w:spacing w:after="170" w:line="288" w:lineRule="auto"/>
      <w:textAlignment w:val="center"/>
    </w:pPr>
    <w:rPr>
      <w:rFonts w:ascii="Helvetica Neue" w:hAnsi="Helvetica Neue" w:cs="Helvetica Neue"/>
      <w:b/>
      <w:bCs/>
      <w:caps/>
      <w:color w:val="BB8957"/>
      <w:spacing w:val="10"/>
      <w:sz w:val="38"/>
      <w:szCs w:val="38"/>
      <w:lang w:val="en-US"/>
    </w:rPr>
  </w:style>
  <w:style w:type="paragraph" w:customStyle="1" w:styleId="Intropara">
    <w:name w:val="Intro para"/>
    <w:basedOn w:val="Normal"/>
    <w:uiPriority w:val="99"/>
    <w:rsid w:val="00F13A3E"/>
    <w:pPr>
      <w:suppressAutoHyphens/>
      <w:autoSpaceDE w:val="0"/>
      <w:autoSpaceDN w:val="0"/>
      <w:adjustRightInd w:val="0"/>
      <w:spacing w:after="198" w:line="340" w:lineRule="atLeast"/>
      <w:textAlignment w:val="center"/>
    </w:pPr>
    <w:rPr>
      <w:rFonts w:ascii="Helvetica Neue" w:hAnsi="Helvetica Neue" w:cs="Helvetica Neue"/>
      <w:color w:val="000000"/>
      <w:spacing w:val="-2"/>
      <w:szCs w:val="22"/>
      <w:lang w:val="en-US"/>
    </w:rPr>
  </w:style>
  <w:style w:type="character" w:customStyle="1" w:styleId="Heading2Char">
    <w:name w:val="Heading 2 Char"/>
    <w:basedOn w:val="DefaultParagraphFont"/>
    <w:link w:val="Heading2"/>
    <w:uiPriority w:val="9"/>
    <w:rsid w:val="00F13A3E"/>
    <w:rPr>
      <w:rFonts w:ascii="Arial" w:hAnsi="Arial" w:cs="Arial"/>
      <w:b/>
      <w:bCs/>
      <w:color w:val="000000"/>
      <w:sz w:val="32"/>
      <w:szCs w:val="32"/>
      <w:lang w:val="en-US"/>
    </w:rPr>
  </w:style>
  <w:style w:type="paragraph" w:customStyle="1" w:styleId="Introduction">
    <w:name w:val="Introduction"/>
    <w:basedOn w:val="Heading2"/>
    <w:qFormat/>
    <w:rsid w:val="00F13A3E"/>
    <w:pPr>
      <w:pBdr>
        <w:top w:val="single" w:sz="48" w:space="1" w:color="BB8A58"/>
        <w:left w:val="single" w:sz="48" w:space="4" w:color="BB8A58"/>
        <w:bottom w:val="single" w:sz="48" w:space="1" w:color="BB8A58"/>
        <w:right w:val="single" w:sz="48" w:space="4" w:color="BB8A58"/>
      </w:pBdr>
      <w:shd w:val="clear" w:color="auto" w:fill="BB8A58"/>
    </w:pPr>
    <w:rPr>
      <w:b w:val="0"/>
      <w:bCs w:val="0"/>
      <w:color w:val="auto"/>
    </w:rPr>
  </w:style>
  <w:style w:type="paragraph" w:customStyle="1" w:styleId="NSTbody">
    <w:name w:val="NST body"/>
    <w:basedOn w:val="Normal"/>
    <w:uiPriority w:val="99"/>
    <w:rsid w:val="00F13A3E"/>
    <w:pPr>
      <w:suppressAutoHyphens/>
      <w:autoSpaceDE w:val="0"/>
      <w:autoSpaceDN w:val="0"/>
      <w:adjustRightInd w:val="0"/>
      <w:spacing w:before="0" w:after="142" w:line="270" w:lineRule="atLeast"/>
      <w:textAlignment w:val="center"/>
    </w:pPr>
    <w:rPr>
      <w:rFonts w:ascii="Helvetica Neue" w:hAnsi="Helvetica Neue" w:cs="Helvetica Neue"/>
      <w:color w:val="000000"/>
      <w:sz w:val="18"/>
      <w:szCs w:val="18"/>
      <w:lang w:val="en-US"/>
    </w:rPr>
  </w:style>
  <w:style w:type="character" w:customStyle="1" w:styleId="Bold">
    <w:name w:val="Bold"/>
    <w:basedOn w:val="DefaultParagraphFont"/>
    <w:uiPriority w:val="99"/>
    <w:rsid w:val="00F13A3E"/>
    <w:rPr>
      <w:rFonts w:ascii="Helvetica Neue" w:hAnsi="Helvetica Neue" w:cs="Helvetica Neue"/>
      <w:b/>
      <w:bCs/>
      <w:color w:val="000000"/>
      <w:sz w:val="18"/>
      <w:szCs w:val="18"/>
    </w:rPr>
  </w:style>
  <w:style w:type="paragraph" w:customStyle="1" w:styleId="NSTH2">
    <w:name w:val="NST H2"/>
    <w:basedOn w:val="Normal"/>
    <w:next w:val="Normal"/>
    <w:uiPriority w:val="99"/>
    <w:rsid w:val="00F13A3E"/>
    <w:pPr>
      <w:autoSpaceDE w:val="0"/>
      <w:autoSpaceDN w:val="0"/>
      <w:adjustRightInd w:val="0"/>
      <w:spacing w:before="170" w:after="170" w:line="380" w:lineRule="atLeast"/>
      <w:textAlignment w:val="center"/>
    </w:pPr>
    <w:rPr>
      <w:rFonts w:ascii="Helvetica Neue" w:hAnsi="Helvetica Neue" w:cs="Helvetica Neue"/>
      <w:b/>
      <w:bCs/>
      <w:color w:val="000000"/>
      <w:sz w:val="32"/>
      <w:szCs w:val="32"/>
      <w:lang w:val="en-US"/>
    </w:rPr>
  </w:style>
  <w:style w:type="paragraph" w:customStyle="1" w:styleId="NSTH3">
    <w:name w:val="NST H3"/>
    <w:basedOn w:val="Normal"/>
    <w:uiPriority w:val="99"/>
    <w:rsid w:val="00F13A3E"/>
    <w:pPr>
      <w:autoSpaceDE w:val="0"/>
      <w:autoSpaceDN w:val="0"/>
      <w:adjustRightInd w:val="0"/>
      <w:spacing w:before="113" w:after="57" w:line="380" w:lineRule="atLeast"/>
      <w:textAlignment w:val="center"/>
    </w:pPr>
    <w:rPr>
      <w:rFonts w:ascii="Helvetica Neue" w:hAnsi="Helvetica Neue" w:cs="Helvetica Neue"/>
      <w:b/>
      <w:bCs/>
      <w:color w:val="BB8957"/>
      <w:sz w:val="24"/>
      <w:lang w:val="en-US"/>
    </w:rPr>
  </w:style>
  <w:style w:type="character" w:customStyle="1" w:styleId="Heading3Char">
    <w:name w:val="Heading 3 Char"/>
    <w:basedOn w:val="DefaultParagraphFont"/>
    <w:link w:val="Heading3"/>
    <w:uiPriority w:val="9"/>
    <w:rsid w:val="004330B8"/>
    <w:rPr>
      <w:rFonts w:ascii="Arial" w:hAnsi="Arial" w:cs="Arial"/>
      <w:b/>
      <w:bCs/>
      <w:color w:val="806000" w:themeColor="accent4" w:themeShade="80"/>
      <w:sz w:val="32"/>
      <w:szCs w:val="32"/>
      <w:lang w:val="en-US"/>
    </w:rPr>
  </w:style>
  <w:style w:type="table" w:styleId="TableGrid">
    <w:name w:val="Table Grid"/>
    <w:basedOn w:val="TableNormal"/>
    <w:uiPriority w:val="39"/>
    <w:rsid w:val="0043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color w:val="FFFFFF" w:themeColor="background1"/>
        <w:sz w:val="22"/>
      </w:rPr>
      <w:tblPr/>
      <w:tcPr>
        <w:shd w:val="clear" w:color="auto" w:fill="806000" w:themeFill="accent4" w:themeFillShade="80"/>
      </w:tcPr>
    </w:tblStylePr>
  </w:style>
  <w:style w:type="paragraph" w:styleId="ListParagraph">
    <w:name w:val="List Paragraph"/>
    <w:basedOn w:val="Normal"/>
    <w:uiPriority w:val="34"/>
    <w:qFormat/>
    <w:rsid w:val="00F13A3E"/>
    <w:pPr>
      <w:ind w:left="720"/>
      <w:contextualSpacing/>
    </w:pPr>
  </w:style>
  <w:style w:type="character" w:customStyle="1" w:styleId="BoldGold">
    <w:name w:val="Bold Gold"/>
    <w:basedOn w:val="DefaultParagraphFont"/>
    <w:uiPriority w:val="99"/>
    <w:rsid w:val="00F13A3E"/>
    <w:rPr>
      <w:rFonts w:ascii="Helvetica Neue" w:hAnsi="Helvetica Neue" w:cs="Helvetica Neue"/>
      <w:b/>
      <w:bCs/>
      <w:color w:val="BB8957"/>
      <w:sz w:val="18"/>
      <w:szCs w:val="18"/>
    </w:rPr>
  </w:style>
  <w:style w:type="paragraph" w:customStyle="1" w:styleId="PolicyBody">
    <w:name w:val="Policy Body"/>
    <w:basedOn w:val="Normal"/>
    <w:uiPriority w:val="99"/>
    <w:rsid w:val="00F13A3E"/>
    <w:pPr>
      <w:suppressAutoHyphens/>
      <w:autoSpaceDE w:val="0"/>
      <w:autoSpaceDN w:val="0"/>
      <w:adjustRightInd w:val="0"/>
      <w:spacing w:before="340" w:after="0" w:line="280" w:lineRule="atLeast"/>
      <w:textAlignment w:val="center"/>
    </w:pPr>
    <w:rPr>
      <w:rFonts w:ascii="Helvetica Neue" w:hAnsi="Helvetica Neue" w:cs="Helvetica Neue"/>
      <w:color w:val="000000"/>
      <w:szCs w:val="22"/>
      <w:lang w:val="en-US"/>
    </w:rPr>
  </w:style>
  <w:style w:type="paragraph" w:styleId="ListContinue">
    <w:name w:val="List Continue"/>
    <w:basedOn w:val="ListBullet"/>
    <w:uiPriority w:val="99"/>
    <w:unhideWhenUsed/>
    <w:rsid w:val="004330B8"/>
    <w:pPr>
      <w:numPr>
        <w:numId w:val="22"/>
      </w:numPr>
    </w:pPr>
  </w:style>
  <w:style w:type="paragraph" w:customStyle="1" w:styleId="NumberedBullet">
    <w:name w:val="Numbered Bullet"/>
    <w:basedOn w:val="Normal"/>
    <w:uiPriority w:val="99"/>
    <w:rsid w:val="00F13A3E"/>
    <w:pPr>
      <w:autoSpaceDE w:val="0"/>
      <w:autoSpaceDN w:val="0"/>
      <w:adjustRightInd w:val="0"/>
      <w:spacing w:before="0" w:after="57" w:line="280" w:lineRule="atLeast"/>
      <w:ind w:left="227" w:hanging="227"/>
      <w:textAlignment w:val="center"/>
    </w:pPr>
    <w:rPr>
      <w:rFonts w:ascii="Helvetica Neue" w:hAnsi="Helvetica Neue" w:cs="Helvetica Neue"/>
      <w:color w:val="000000"/>
      <w:szCs w:val="22"/>
      <w:lang w:val="en-US"/>
    </w:rPr>
  </w:style>
  <w:style w:type="character" w:styleId="PageNumber">
    <w:name w:val="page number"/>
    <w:basedOn w:val="DefaultParagraphFont"/>
    <w:uiPriority w:val="99"/>
    <w:semiHidden/>
    <w:unhideWhenUsed/>
    <w:rsid w:val="00F13A3E"/>
  </w:style>
  <w:style w:type="paragraph" w:customStyle="1" w:styleId="TableHeader">
    <w:name w:val="Table Header"/>
    <w:basedOn w:val="Normal"/>
    <w:next w:val="Normal"/>
    <w:uiPriority w:val="99"/>
    <w:rsid w:val="00F13A3E"/>
    <w:pPr>
      <w:suppressAutoHyphens/>
      <w:autoSpaceDE w:val="0"/>
      <w:autoSpaceDN w:val="0"/>
      <w:adjustRightInd w:val="0"/>
      <w:spacing w:before="397" w:after="57" w:line="380" w:lineRule="atLeast"/>
      <w:textAlignment w:val="center"/>
    </w:pPr>
    <w:rPr>
      <w:rFonts w:ascii="Helvetica Neue" w:hAnsi="Helvetica Neue" w:cs="Helvetica Neue"/>
      <w:b/>
      <w:bCs/>
      <w:caps/>
      <w:color w:val="FFFFFF"/>
      <w:sz w:val="18"/>
      <w:szCs w:val="18"/>
      <w:lang w:val="en-US"/>
    </w:rPr>
  </w:style>
  <w:style w:type="paragraph" w:customStyle="1" w:styleId="Tabletitle">
    <w:name w:val="Table title"/>
    <w:basedOn w:val="NSTH3"/>
    <w:uiPriority w:val="99"/>
    <w:rsid w:val="00F13A3E"/>
    <w:pPr>
      <w:spacing w:line="288" w:lineRule="auto"/>
    </w:pPr>
    <w:rPr>
      <w:sz w:val="18"/>
      <w:szCs w:val="18"/>
    </w:rPr>
  </w:style>
  <w:style w:type="character" w:customStyle="1" w:styleId="Italic">
    <w:name w:val="Italic"/>
    <w:uiPriority w:val="99"/>
    <w:rsid w:val="00F13A3E"/>
    <w:rPr>
      <w:i/>
      <w:iCs/>
    </w:rPr>
  </w:style>
  <w:style w:type="paragraph" w:customStyle="1" w:styleId="NSTH31">
    <w:name w:val="NST H3.1"/>
    <w:basedOn w:val="NSTH3"/>
    <w:uiPriority w:val="99"/>
    <w:rsid w:val="00F13A3E"/>
  </w:style>
  <w:style w:type="paragraph" w:customStyle="1" w:styleId="TABLETEXT">
    <w:name w:val="TABLE TEXT"/>
    <w:basedOn w:val="Normal"/>
    <w:qFormat/>
    <w:rsid w:val="00F13A3E"/>
    <w:pPr>
      <w:spacing w:before="0" w:after="60"/>
    </w:pPr>
    <w:rPr>
      <w:color w:val="000000"/>
      <w:sz w:val="21"/>
      <w:lang w:val="en-US"/>
    </w:rPr>
  </w:style>
  <w:style w:type="paragraph" w:customStyle="1" w:styleId="Website">
    <w:name w:val="Website"/>
    <w:uiPriority w:val="99"/>
    <w:rsid w:val="004330B8"/>
    <w:pPr>
      <w:autoSpaceDE w:val="0"/>
      <w:autoSpaceDN w:val="0"/>
      <w:adjustRightInd w:val="0"/>
      <w:spacing w:line="288" w:lineRule="auto"/>
      <w:textAlignment w:val="center"/>
    </w:pPr>
    <w:rPr>
      <w:rFonts w:ascii="Bebas-Regular" w:hAnsi="Bebas-Regular" w:cs="Bebas-Regular"/>
      <w:spacing w:val="10"/>
      <w:lang w:val="en-US"/>
    </w:rPr>
  </w:style>
  <w:style w:type="paragraph" w:customStyle="1" w:styleId="BasicParagraph">
    <w:name w:val="[Basic Paragraph]"/>
    <w:basedOn w:val="Normal"/>
    <w:uiPriority w:val="99"/>
    <w:rsid w:val="00F13A3E"/>
    <w:pPr>
      <w:autoSpaceDE w:val="0"/>
      <w:autoSpaceDN w:val="0"/>
      <w:adjustRightInd w:val="0"/>
      <w:spacing w:before="0" w:after="0" w:line="288" w:lineRule="auto"/>
      <w:textAlignment w:val="center"/>
    </w:pPr>
    <w:rPr>
      <w:rFonts w:ascii="Minion Pro" w:hAnsi="Minion Pro" w:cs="Minion Pro"/>
      <w:color w:val="000000"/>
      <w:sz w:val="24"/>
      <w:lang w:val="en-US"/>
    </w:rPr>
  </w:style>
  <w:style w:type="table" w:styleId="PlainTable2">
    <w:name w:val="Plain Table 2"/>
    <w:basedOn w:val="TableNormal"/>
    <w:uiPriority w:val="42"/>
    <w:rsid w:val="00766211"/>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inorHAnsi" w:hAnsiTheme="minorHAnsi"/>
        <w:b/>
        <w:bCs/>
        <w:sz w:val="22"/>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rFonts w:asciiTheme="minorHAnsi" w:hAnsiTheme="minorHAnsi"/>
        <w:b w:val="0"/>
        <w:bCs/>
        <w:sz w:val="22"/>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662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76621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asciiTheme="minorHAnsi" w:hAnsiTheme="minorHAnsi"/>
        <w:b/>
        <w:bCs/>
        <w:color w:val="806000" w:themeColor="accent4" w:themeShade="80"/>
        <w:sz w:val="22"/>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rFonts w:asciiTheme="minorHAnsi" w:hAnsiTheme="minorHAnsi"/>
        <w:b/>
        <w:bCs/>
        <w:color w:val="806000" w:themeColor="accent4" w:themeShade="80"/>
        <w:sz w:val="22"/>
      </w:rPr>
    </w:tblStylePr>
    <w:tblStylePr w:type="lastCol">
      <w:rPr>
        <w:b/>
        <w:bCs/>
      </w:rPr>
    </w:tblStylePr>
  </w:style>
  <w:style w:type="character" w:styleId="Strong">
    <w:name w:val="Strong"/>
    <w:basedOn w:val="DefaultParagraphFont"/>
    <w:uiPriority w:val="22"/>
    <w:qFormat/>
    <w:rsid w:val="00766211"/>
    <w:rPr>
      <w:b/>
      <w:bCs/>
    </w:rPr>
  </w:style>
  <w:style w:type="paragraph" w:styleId="FootnoteText">
    <w:name w:val="footnote text"/>
    <w:basedOn w:val="Normal"/>
    <w:link w:val="FootnoteTextChar"/>
    <w:uiPriority w:val="99"/>
    <w:unhideWhenUsed/>
    <w:rsid w:val="004330B8"/>
    <w:pPr>
      <w:spacing w:before="0" w:after="0" w:line="240" w:lineRule="auto"/>
    </w:pPr>
    <w:rPr>
      <w:sz w:val="20"/>
      <w:szCs w:val="20"/>
    </w:rPr>
  </w:style>
  <w:style w:type="paragraph" w:styleId="ListBullet">
    <w:name w:val="List Bullet"/>
    <w:basedOn w:val="Normal"/>
    <w:uiPriority w:val="99"/>
    <w:semiHidden/>
    <w:unhideWhenUsed/>
    <w:rsid w:val="004330B8"/>
    <w:pPr>
      <w:numPr>
        <w:numId w:val="12"/>
      </w:numPr>
      <w:contextualSpacing/>
    </w:pPr>
  </w:style>
  <w:style w:type="character" w:customStyle="1" w:styleId="FootnoteTextChar">
    <w:name w:val="Footnote Text Char"/>
    <w:basedOn w:val="DefaultParagraphFont"/>
    <w:link w:val="FootnoteText"/>
    <w:uiPriority w:val="99"/>
    <w:rsid w:val="004330B8"/>
    <w:rPr>
      <w:rFonts w:ascii="Arial" w:hAnsi="Arial" w:cs="Arial"/>
      <w:sz w:val="20"/>
      <w:szCs w:val="20"/>
    </w:rPr>
  </w:style>
  <w:style w:type="paragraph" w:customStyle="1" w:styleId="Normalcolouredtext">
    <w:name w:val="Normal coloured text"/>
    <w:basedOn w:val="Normal"/>
    <w:link w:val="NormalcolouredtextChar"/>
    <w:qFormat/>
    <w:rsid w:val="004330B8"/>
    <w:rPr>
      <w:color w:val="BB8957"/>
    </w:rPr>
  </w:style>
  <w:style w:type="character" w:customStyle="1" w:styleId="NormalcolouredtextChar">
    <w:name w:val="Normal coloured text Char"/>
    <w:basedOn w:val="DefaultParagraphFont"/>
    <w:link w:val="Normalcolouredtext"/>
    <w:rsid w:val="004330B8"/>
    <w:rPr>
      <w:rFonts w:ascii="Arial" w:hAnsi="Arial" w:cs="Arial"/>
      <w:color w:val="BB895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BB2A-A71E-7743-95FD-8095D387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1007</Words>
  <Characters>5564</Characters>
  <Application>Microsoft Office Word</Application>
  <DocSecurity>0</DocSecurity>
  <Lines>99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Tribunal Dispute Resolution Policies</dc:title>
  <dc:subject>Sports</dc:subject>
  <dc:creator>Australian Government Department of Health and Aged Care</dc:creator>
  <cp:keywords>Sports; Sports Tribunal; Dispute Resolution; </cp:keywords>
  <dc:description/>
  <cp:lastModifiedBy>Department of Health and Aged Care</cp:lastModifiedBy>
  <cp:revision>4</cp:revision>
  <dcterms:created xsi:type="dcterms:W3CDTF">2022-11-02T23:21:00Z</dcterms:created>
  <dcterms:modified xsi:type="dcterms:W3CDTF">2022-11-02T23:34:00Z</dcterms:modified>
</cp:coreProperties>
</file>